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rPr>
        <w:t>教育部等九部门关于印发《职业教育提质培优行动计划（2020—2023年）》的通知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20" w:lineRule="atLeast"/>
        <w:ind w:left="0" w:right="0"/>
        <w:jc w:val="right"/>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教职成〔2020〕7号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各省、自治区、直辖市教育厅（教委）、发展改革委、工业和信息化主管部门、财政厅（局）、人力资源社</w:t>
      </w:r>
      <w:bookmarkStart w:id="0" w:name="_GoBack"/>
      <w:bookmarkEnd w:id="0"/>
      <w:r>
        <w:rPr>
          <w:rFonts w:hint="eastAsia" w:ascii="仿宋_GB2312" w:hAnsi="仿宋" w:eastAsia="仿宋_GB2312" w:cs="仿宋"/>
          <w:spacing w:val="-4"/>
          <w:kern w:val="2"/>
          <w:sz w:val="32"/>
          <w:szCs w:val="32"/>
          <w:lang w:val="en-US" w:eastAsia="zh-CN" w:bidi="ar-SA"/>
        </w:rPr>
        <w:t>会保障厅（局）、农业农村（农牧）厅（局、委）、国资委、扶贫办，新疆生产建设兵团教育局、发展改革委、工业和信息化局、财政局、人力资源社会保障局、农业农村局、国资委、扶贫办，国家税务总局各省、自治区、直辖市、计划单列市税务局，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现将《职业教育提质培优行动计划（2020—2023年）》印发给你们，请结合实际，加强协同配合，认真贯彻执行。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24"/>
        <w:rPr>
          <w:rFonts w:hint="eastAsia" w:ascii="仿宋_GB2312" w:hAnsi="仿宋" w:eastAsia="仿宋_GB2312" w:cs="仿宋"/>
          <w:spacing w:val="-4"/>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right"/>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教育部 国家发展改革委 工业和信息化部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right"/>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财政部 人力资源社会保障部 农业农村部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right"/>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国务院国资委 国家税务总局 国务院扶贫办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right"/>
        <w:rPr>
          <w:rFonts w:hint="eastAsia" w:ascii="仿宋_GB2312" w:hAnsi="仿宋" w:eastAsia="仿宋_GB2312" w:cs="仿宋"/>
          <w:spacing w:val="-4"/>
          <w:kern w:val="2"/>
          <w:sz w:val="32"/>
          <w:szCs w:val="32"/>
          <w:lang w:val="en-US" w:eastAsia="zh-CN" w:bidi="ar-SA"/>
        </w:rPr>
      </w:pPr>
      <w:r>
        <w:rPr>
          <w:rFonts w:hint="eastAsia" w:ascii="仿宋_GB2312" w:hAnsi="仿宋" w:eastAsia="仿宋_GB2312" w:cs="仿宋"/>
          <w:spacing w:val="-4"/>
          <w:kern w:val="2"/>
          <w:sz w:val="32"/>
          <w:szCs w:val="32"/>
          <w:lang w:val="en-US" w:eastAsia="zh-CN" w:bidi="ar-SA"/>
        </w:rPr>
        <w:t>2020年9月16日</w:t>
      </w:r>
    </w:p>
    <w:p>
      <w:pPr>
        <w:jc w:val="center"/>
        <w:rPr>
          <w:rFonts w:hint="eastAsia" w:ascii="华文中宋" w:hAnsi="华文中宋" w:eastAsia="华文中宋"/>
          <w:sz w:val="36"/>
          <w:szCs w:val="36"/>
        </w:rPr>
      </w:pPr>
      <w:r>
        <w:rPr>
          <w:rFonts w:hint="eastAsia" w:ascii="华文中宋" w:hAnsi="华文中宋" w:eastAsia="华文中宋"/>
          <w:sz w:val="36"/>
          <w:szCs w:val="36"/>
        </w:rPr>
        <w:t>职业教育提质培优行动计划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rPr>
          <w:rFonts w:hint="eastAsia" w:ascii="仿宋_GB2312" w:hAnsi="仿宋" w:eastAsia="仿宋_GB2312" w:cs="仿宋"/>
          <w:spacing w:val="-4"/>
          <w:kern w:val="2"/>
          <w:sz w:val="24"/>
          <w:szCs w:val="24"/>
          <w:lang w:val="en-US" w:eastAsia="zh-CN" w:bidi="ar-SA"/>
        </w:rPr>
      </w:pPr>
      <w:r>
        <w:rPr>
          <w:rFonts w:hint="eastAsia" w:ascii="仿宋_GB2312" w:hAnsi="仿宋" w:eastAsia="仿宋_GB2312" w:cs="仿宋"/>
          <w:spacing w:val="-4"/>
          <w:kern w:val="2"/>
          <w:sz w:val="24"/>
          <w:szCs w:val="24"/>
          <w:lang w:val="en-US" w:eastAsia="zh-CN" w:bidi="ar-SA"/>
        </w:rPr>
        <w:t>（2020—2023年）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rPr>
          <w:rFonts w:hint="eastAsia" w:ascii="微软雅黑" w:hAnsi="微软雅黑" w:eastAsia="微软雅黑" w:cs="微软雅黑"/>
          <w:b/>
          <w:color w:val="4B4B4B"/>
          <w:sz w:val="16"/>
          <w:szCs w:val="16"/>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 w:eastAsia="仿宋_GB2312" w:cs="仿宋"/>
          <w:spacing w:val="-4"/>
          <w:kern w:val="2"/>
          <w:sz w:val="24"/>
          <w:szCs w:val="24"/>
          <w:lang w:val="en-US" w:eastAsia="zh-CN" w:bidi="ar-SA"/>
        </w:rPr>
      </w:pPr>
      <w:r>
        <w:rPr>
          <w:rFonts w:hint="eastAsia" w:ascii="仿宋_GB2312" w:hAnsi="仿宋" w:eastAsia="仿宋_GB2312" w:cs="仿宋"/>
          <w:spacing w:val="-4"/>
          <w:kern w:val="2"/>
          <w:sz w:val="24"/>
          <w:szCs w:val="24"/>
          <w:lang w:val="en-US" w:eastAsia="zh-CN" w:bidi="ar-SA"/>
        </w:rPr>
        <w:t>　　为贯彻落实《国家职业教育改革实施方案》，办好公平有质量、类型特色突出的职业教育，提质培优、增值赋能、以质图强，加快推进职业教育现代化，更好地支撑我国经济社会持续健康发展，特制定职业教育提质培优行动计划（2020—2023年）（以下简称“行动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w:t>
      </w:r>
      <w:r>
        <w:rPr>
          <w:rFonts w:hint="eastAsia" w:ascii="仿宋_GB2312" w:hAnsi="仿宋_GB2312" w:eastAsia="仿宋_GB2312" w:cs="仿宋_GB2312"/>
          <w:b/>
          <w:color w:val="4B4B4B"/>
          <w:sz w:val="24"/>
          <w:szCs w:val="24"/>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以习近平新时代中国特色社会主义思想为指导，贯彻党的十九大和十九届二中、三中、四中全会精神，牢固树立新发展理念，落实高度重视、加快发展的工作方针，坚持服务高质量发展、促进高水平就业的办学方向，坚持职业教育与普通教育不同类型、同等重要的战略定位，着力夯实基础、补齐短板，着力深化改革、激发活力，加快构建纵向贯通、横向融通的中国特色现代职业教育体系，大幅提升新时代职业教育现代化水平和服务能力，为促进经济社会持续发展和提高国家竞争力提供多层次高质量的技术技能人才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（二）主要目标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通过建设，职业教育与经济社会发展需求对接更加紧密、同人民群众期待更加契合、同我国综合国力和国际地位更加匹配，中国特色现代职业教育体系更加完备、制度更加健全、标准更加完善、条件更加充足、评价更加科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——职业教育发展制度基本健全，职业学校层次结构合理，分类考试招生成为高职学校招生的主渠道，职业教育国家“学分银行”投入运行。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——国务院有关部门协同配合、地方落实主责的职业教育工作机制更加顺畅，政府行业企业学校职责清晰、同向发力，政府统筹管理、社会多元办学格局更加稳固。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——职业教育与普通教育规模大体相当、相互融通，职业学校办学定位清晰，专业设置和人才供给结构不断优化，每年向社会输送数以千万计的高质量技术技能人才。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——国家、省、校三级职业教育标准体系逐步完善，职业学校教学条件基本达标，评价体系更具职教特色，教师、教材、教法改革全面深化。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——职业学校办学水平、人才培养质量和就业质量整体提升，职业教育的吸引力和社会认可度大幅提高，有效支撑地方经济社会发展和国家重大战略。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（三）基本原则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育人为本，质量为先。加强党对职业教育工作的全面领导，推进新时代职业学校思想政治工作改革创新。深化产教融合、校企合作，强化工学结合、知行合一，健全德技并修育人机制，完善多元共治的质量保证机制，推进职业教育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——固本强基，综合改革。聚焦薄弱环节，着力补短板、强弱项，夯实职业教育发展基础。系统推进体制机制、教育教学、评价体系改革，为职业教育发展注入新动力，激发职业学校办学活力。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标准先行，试点突破。健全国家、省、校三级标准体系，完善标准落地的工作机制。以打造创新发展高地为抓手，推进关键改革，突破瓶颈制约，打造一批职业教育优质资源和品牌，带动职业教育大改革大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——地方主责，协同推进。构建政府行业企业学校协同推进职业教育高质量发展的新机制，强化省级政府统筹，加强计划执行的过程管理、检查验收和结果应用，确保各项改革措施取得实效。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w:t>
      </w:r>
      <w:r>
        <w:rPr>
          <w:rFonts w:hint="eastAsia" w:ascii="仿宋_GB2312" w:hAnsi="仿宋_GB2312" w:eastAsia="仿宋_GB2312" w:cs="仿宋_GB2312"/>
          <w:b/>
          <w:color w:val="4B4B4B"/>
          <w:sz w:val="24"/>
          <w:szCs w:val="24"/>
          <w:shd w:val="clear" w:fill="FFFFFF"/>
        </w:rPr>
        <w:t>二、重点任务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（一）落实立德树人根本任务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1.推动习近平新时代中国特色社会主义思想进教材进课堂进头脑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以习近平新时代中国特色社会主义思想特别是习近平总书记关于职业教育的重要论述武装头脑、指导实践、推动工作。推进理想信念教育常态化、制度化，落实《新时代爱国主义教育实施纲要》和《新时代公民道德建设纲要》，加强党史、新中国史、改革开放史、社会主义发展史教育和爱国主义、集体主义、社会主义教育。将劳动教育纳入职业学校人才培养方案，设立劳动教育必修课程，统筹勤工俭学、实习实训、社会实践、志愿服务等环节系统开展劳动教育。加强职业道德、职业素养、职业行为习惯培养，职业精神、工匠精神、劳模精神等专题教育不少于16学时。加强艺术类公共基础必修课程建设，强化实践体验，促进学生全面发展。加强职业教育研究，加快构建中国特色职业教育的思想体系、话语体系、政策体系和实践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2.构建职业教育“三全育人”新格局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加强党委对学校思想政治工作的全面领导，落实全员全过程全方位育人，引导职业学校全面统筹各领域、各环节、各方面的育人资源和育人力量，教育引导青年学生增强爱党爱国意识，听党话、跟党走。引导专业课教师加强课程思政建设，将思政教育全面融入人才培养方案和专业课程。构建省校两级培训体系，建立辅导员职务职级“双线”晋升通道，推动辅导员专业化、职业化发展。加强中职德育工作队伍建设，办好中职学校班主任业务能力比赛。鼓励从企业中聘请劳动模范、技术能手、大国工匠、道德楷模担任兼职德育导师，建设一支阅历丰富、有亲和力、身正为范的兼职德育工作队伍。将党建和思想政治工作评价指标全面纳入学校事业发展规划、专业质量评价、人才项目评审、教学科研成果评估等。到2023年，培育200所左右“三全育人”典型学校，培育遴选100个左右名班主任工作室，遴选100个左右德育特色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3.创新职业学校思想政治教育模式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加强中职学校思想政治、语文、历史和高职学校思想政治理论课课程建设，开足开齐开好必修课程，按照规定选用国家统编教材。高职学校应当根据全日制在校生总数，严格按照师生比不低于1:350的比例核定专职思政课教师岗位，中职学校要加大专职思政课教师配备力度。实施职业学校党建和思政工作能力提升计划，开展德育管理人员、专职思政课教师培训。改革思政课教师考核办法，将政治素质作为教师考核第一标准。遵循职业学校学生认知规律，开发遴选学生喜闻乐见的课程资源，因地制宜实施情景式、案例式、活动式等教法，建设学生真心喜爱、终生受益、体现职业教育特点的思政课程。持续开展职业学校“文明风采”系列活动。充分挖掘和利用地方、企业德育教育资源，鼓励引导校企共建德育实践基地。到2023年，培训10000名左右德育骨干管理人员、思政课专任教师，遴选100个左右思政课教师研修基地，分级培育遴选1000个左右思想政治课教学创新团队、10000个左右思想政治课示范课堂、10000个左右具有职业教育特点的课程思政教育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（二）推进职业教育协调发展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4.强化中职教育的基础性作用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把发展中职教育作为普及高中阶段教育和建设中国特色现代职业教育体系的重要基础，保持高中阶段教育职普比大体相当。系统设计中职考试招生办法，使绝大多数城乡新增劳动力接受高中阶段教育。全面核查中职学校基本办学条件，整合“空、小、散、弱”学校，优化中职学校布局。结合实际，鼓励各地将政府投入的职业教育资源统一纳入中职学校（含技工学校、县级职业教育中心等）调配使用，提高中职学校办学效益。支持集中连片特困地区每个地市原则上至少建好办好1所符合当地经济社会发展需要的中职学校。建立普通高中和中职学校合作机制，探索课程互选、学分互认、资源互通，支持有条件的普通高中举办综合高中。加大“三区三州”等深度贫困地区的普职融通力度，发挥职业教育促进义务教育“控辍保学”作用。到2023年，中职学校教学条件基本达标，遴选1000所左右优质中职学校和3000个左右优质专业、300所左右优质技工学校和300个左右优质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5.巩固专科高职教育的主体地位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把发展专科高职教育作为优化高等教育结构和培养大国工匠、能工巧匠的重要方式，输送区域发展急需的高素质技术技能人才。不限制专科高职学校招收中职毕业生的比例，适度扩大专升本招生计划，为部分有意愿的高职（专科）毕业生提供继续深造的机会。推动各地落实职业学校毕业生在落户、就业、参加机关事业单位招聘、职称评审、职级晋升等方面与普通高校毕业生享受同等待遇。扎实推进中国特色高水平高职学校和专业建设计划，加强绩效考核与评价，建成一批高技能人才培养培训基地和技术技能创新平台。探索高职专业认证。推进专科高职学校高质量发展，遴选300所左右省域高水平高职学校和600个左右高水平专业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6.稳步发展高层次职业教育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把发展本科职业教育作为完善现代职业教育体系的关键一环，培养高素质创新型技术技能人才，畅通技术技能人才成长通道。稳步推进本科层次职业教育试点，支持符合条件的中国特色高水平高职学校建设单位试办职业教育本科专业。推动具备条件的普通本科高校向应用型转变。根据产业需要和行业特点，适度扩大专业学位硕士、博士培养规模，推动各地发展以职业需求为导向、以实践能力培养为重点、以产学研用结合为途径的专业学位研究生培养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（三）完善服务全民终身学习的制度体系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7.健全服务全民终身学习的职业教育制度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推进国家资历框架建设，建立各级各类教育培训学习成果认定、积累和转换机制。加快建设职业教育国家“学分银行”，制定学时学分记录规则，引导在校学生和社会学习者建立职业教育个人学习账号，存储、积累学习成果和技能财富。支持学校按照相关规则研制具体的学习成果转换办法，按程序受理学分兑换申请，符合条件的学生可免修部分课程或模块。支持国家开放大学体系创新发展，着力提高办学质量和水平，服务全民终身学习体系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8.推动学历教育与职业培训并举并重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落实职业学校并举实施学历教育与培训的法定职责，按照育训结合、长短结合、内外结合的要求，面向在校学生和全体社会成员开展职业培训。支持职业学校承担更多培训任务，成为落实《职业技能提升行动方案（2019—2021年）》的主力军，实现优质职业学校年培训人次达到在校生规模的2倍以上。深入推进1+X证书制度试点，及时总结试点工作经验做法，提高职业技能等级证书的行业企业认可度。发挥职业教育培训评价组织在实施职业技能培训中的重要主体作用。推动更多职业学校参与1+X证书制度实施，服务学生成长和高质量就业。引导有条件的普通高校和职业学校参与企业大学建设。根据军队需要保证职业学校定向培养士官质量。支持国家开放大学办好面向军队军士的学历继续教育。依托职业院校、培训机构、农业技术推广站等机构，面向“三农”提供全产业链技术培训服务及技术支持，为脱贫致富提供持续动力。引导职业学校和龙头企业联合建设500个左右示范性职工培训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9.强化职业学校的继续教育功能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面向在职员工、现役军人、退役军人、进城务工人员、转岗人员、城镇化进程中的新市民、城乡待业人员、残疾人、农村实用人才等社会群体开展多种形式的继续教育。鼓励职业学校积极参与社区教育和老年教育，与普通高校、开放大学（广播电视大学）、独立设置成人高校、各类继续教育机构互联互通、共建共享，形成服务全民终身学习的发展合力。实施“职业教育服务终身学习质量提升行动”，遴选200个左右示范性继续教育基地、2000门左右优质继续教育网络课程，在老年教育、特殊教育、学前教育、卫生护理、文化艺术等领域，遴选500个左右社区教育示范基地和老年大学示范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（四）深化职业教育产教融合、校企合作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10.深化职业教育供给侧结构性改革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建立产业人才数据平台，发布产业人才需求报告，促进职业教育和产业人才需求精准对接。研制职业教育产教对接谱系图，指导优化职业学校和专业布局，重点服务现代制造业、现代服务业和现代农业。遴选建设一批产教融合型城市，推动试点城市建设开放型、共享型、智慧型实训基地。加大对农业农村等人才急需领域的职业教育供给，建设100所乡村振兴人才培养优质校，发挥好“国家级农村职业教育和成人教育示范县”等在服务乡村振兴战略中的重要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11.深化校企合作协同育人模式改革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建好用好行业职业教育教学指导委员会，提升行业举办和指导职业教育的能力。支持职业学校根据自身特点和人才培养需要，主动与具备条件的企业在人才培养培训、技术创新、就业创业、社会服务、文化传承等方面开展合作。支持国有企业和大型民营企业举办或参与举办职业教育，将企业办学情况纳入企业社会责任报告。支持行业领军企业主导建设全国性职教集团，分领域建设服务产业高端的技术技能人才标准和培养高地。全面推行现代学徒制和企业新型学徒制，鼓励企业利用资本、技术、知识、设施、设备和管理等要素参与校企合作。培育数以万计的产教融合型企业，建立覆盖主要专业领域的教师企业实践流动站，依托国有企业、大型民企建立1000个左右示范性流动站。发挥职教集团推进企业参与职业教育办学的纽带作用，打造500个左右实体化运行的示范性职教集团（联盟）、100个左右技工教育集团（联盟）。推动建设300个左右具有辐射引领作用的高水平专业化产教融合实训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12.完善校企合作激励约束机制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健全以企业为重要主导、职业学校为重要支撑、产业关键核心技术攻关为中心任务的产教融合创新机制。围绕关键核心技术，推动公共教学资源和实训资源共建共享。支持行业组织积极参与产教融合建设试点项目。对纳入产教融合型企业建设培育范围的试点企业，兴办职业教育的投资符合规定的，可按投资额的30%抵免当年应缴教育费附加和地方教育附加。充分发挥市场配置资源作用，鼓励地方开展混合所有制、股份制办学改革试点，推动各地建立健全省级产教融合型企业认证制度，落实“金融+财政+土地+信用”的组合式激励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（五）健全职业教育考试招生制度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13.健全高职分类考试招生制度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建立健全省级统筹的高职分类考试招生制度。完善高职教育招生计划分配和考试招生办法，每年春季省级教育行政部门统一组织开展以高职学校招生为主的分类考试。分类考试录取的学生不再参加普通高考。保留高职学校通过普通高考招生的渠道，保持分类考试招生为高职学校招生的主渠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14.规范职业教育考试招生形式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鼓励中职毕业生通过高职分类考试报考高职学校。推动各地将技工学校纳入职业教育统一招生平台。鼓励退役军人、下岗职工、农民工和高素质农民等群体报考高职学校，可免予文化素质考试，只参加学校组织的与报考专业相关的职业适应性测试或职业技能测试。逐步取消现行的注册入学招生。规范长学制技术技能人才贯通培养，逐步取消中职本科贯通，适度扩大中职专科贯通，贯通专业以始读年龄小、培养周期长、技能要求高的专业为主。严格执行技能拔尖人才免试入学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15.完善“文化素质+职业技能”评价方式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完善高职分类考试内容和形式，推进“文化素质+职业技能”评价方式，引导不同阶段教育合理分流、协调发展，为学生接受高职教育提供多种入学方式。文化素质考试由省级教育行政部门根据《中等职业学校公共基础课课程标准》统一组织。职业技能测试分值不低于总分值的50%，考试形式以操作考试为主，须充分体现岗位技能、通用技术等内容。省级教育行政部门按照专业大类统一制定职业适应性测试标准、规定测试方式。支持有条件的省份建立中职学生学业水平测试制度。鼓励高职学校与产教融合型企业联合招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（六）实施职业教育治理能力提升行动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16.健全职业教育标准体系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发挥标准在职业教育质量提升中的基础性作用。适时修订中职学校、专科高职学校设置标准，研制本科职业学校设置标准。结合职业教育特点完善学位制度。实施职业学校教师、校长专业标准，制定“双师型”教师基本要求。统筹修（制）订衔接贯通、全面覆盖的中等、专科、本科职业教育专业目录及专业设置管理办法。构建国家、省、校三级专业教学标准体系，国家面向产业急需领域和量大面广的专业，修（制）订国家标准；各地根据经济社会发展需要和有关技术规范，补充制定区域性标准；职业学校全面落实国标和省标，开发具有校本特色的更高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17.完善办学质量监管评价机制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完善政府、行业企业、学校、社会等多方参与的质量监管评价机制。完善职业学校评价制度，把职业道德、职业素养、技术技能水平、就业质量和创业能力作为衡量人才培养质量的重要内容。研究制定职业学校办学质量考核办法，省级统筹开展职业学校办学质量考核，建立技能抽查、实习报告、毕业设计抽检等随机性检查制度。完善以章程为核心的校内规则制度体系，健全职业学校内部治理结构，深入推进职业学校教学工作诊断与改进制度建设，切实发挥学校质量保证主体作用。巩固国家、省、校三级质量年报发布制度，进一步提高质量年报编制水平和公开力度。完善职业教育督导评估办法，构建国家、省、校三级职业教育督导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18.打造高素质专业化管理队伍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强化职业学校校长队伍建设，完善选拔任用机制。落实和扩大职业学校办学自主权，健全完善职称评聘、分配制度等，支持学校在限额内自主设立内设机构，按规定自主设置岗位、自主确定用人计划、按规定自主招聘各类人才。建立国家、省、市（县）分级培训机制，组织开展职业学校校长和管理干部培训，造就一支政治过硬、品德高尚、业务精湛、治校有方的管理队伍。到2023年，集中培训5000名左右中职校长（书记）和1000名左右高职校长（书记），各级各类培训覆盖全部职业学校管理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（七）实施职业教育“三教”改革攻坚行动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19.提升教师“双师”素质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根据职业教育特点核定公办职业学校教职工编制。实施新一周期“全国职业院校教师素质提高计划”，校企共建“双师型”教师（含技工院校“一体化”教师，下同）培养培训基地和教师企业实践基地，落实5年一轮的教师全员培训制度。探索有条件的优质高职学校转型为职业技术师范类院校或开办职业技术师范专业，支持高水平工科院校分专业领域培养职业教育师资，构建“双师型”教师培养体系。改革职业学校专业教师晋升和评价机制，破除“五唯”倾向，将企业生产项目实践经历、业绩成果等纳入评价标准。完善职业学校自主聘任兼职教师的办法，实施现代产业导师特聘计划，设置一定比例的特聘岗位，畅通行业企业高层次技术技能人才从教渠道，推动企业工程技术人员、高技能人才与职业学校教师双向流动。改革完善职业学校绩效工资政策。职业学校通过校企合作、技术服务、社会培训取得的收入，可按一定比例作为绩效工资来源。各级人力资源社会保障、财政部门要充分考虑职业学校承担培训任务情况，合理核定绩效工资总量和水平。对承担任务较重的职业学校，在原总量基础上及时核增所需绩效工资总量。专业教师可按国家规定在校企合作企业兼职取酬。到2023年，专业教师中“双师型”教师占比超过50%，遴选一批国家“万人计划”教学名师、360个国家级教师教学创新团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20.加强职业教育教材建设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完善职业教育教材规划、编写、审核、选用使用、评价监管机制。加强意识形态属性较强的哲学社会科学教材建设，纳入马克思主义理论研究和建设工程重点建设，做好教材统一使用工作。对接主流生产技术，注重吸收行业发展的新知识、新技术、新工艺、新方法，校企合作开发专业课教材。建立健全三年大修订、每年小修订的教材动态更新调整机制。根据职业学校学生特点创新教材形态，推行科学严谨、深入浅出、图文并茂、形式多样的活页式、工作手册式、融媒体教材。实行教材分层规划制度，引导地方建设国家规划教材领域以外的区域特色教材，在国家和省级规划教材不能满足的情况下，鼓励职业学校编写反映自身特色的校本专业教材。编写并用好中职思想政治、语文和历史统编教材。健全教材的分类审核、抽查和退出制度。到2023年，遴选10000种左右校企双元合作开发的职业教育规划教材，国家、省两级抽查教材的比例合计不低于50%，职业学校专业课程全部使用新近更新的教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21.提升职业教育专业和课程教学质量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推动依据国家战略和区域产业发展需求、专业建设水平、就业质量等合理规划引导专业设置，建立退出机制。规范人才培养方案研制发布程序，建立职业学校人才培养方案公开制度，为行业指导、企业选择、学生学习、同行交流、社会监督提供便利。加强课堂教学日常管理，规范教学秩序。推动职业学校“课堂革命”，适应生源多样化特点，将课程教学改革推向纵深。加强实践性教学，实践性教学学时原则上占总学时数50%以上，积极推行认知实习、跟岗实习、顶岗实习等多种实习方式，可根据专业实际集中或分阶段安排。完善以学习者为中心的专业和课程教学评价体系，强化实习实训考核评价。鼓励教师团队对接职业标准和工作过程，探索分工协作的模块化教学组织方式。建立健全国家、省、校三级教学能力比赛机制。遴选1000个左右职业教育“课堂革命”典型案例，职业教育教学成果奖评选向课堂教学改革倾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（八）实施职业教育信息化2.0建设行动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22.提升职业教育信息化建设水平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落实《职业院校数字校园规范》，推动各地研制校本数据中心建设指南，指导职业学校系统设计学校信息化整体解决方案。引导职业学校提升信息化基础能力，建设高速稳定的校园网络，联通校内行政教学科研学生后勤等应用系统，统筹建设一体化智能化教学、管理与服务平台。推动信息技术和智能技术深度融入学校管理全过程，大幅提高决策和管理的精准化科学化水平。落实网络安全责任制，增强网络与信息安全管控能力。遴选300所左右职业教育信息化标杆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23.推动信息技术与教育教学深度融合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主动适应科技革命和产业革命要求，以“信息技术+”升级传统专业，及时发展数字经济催生的新兴专业。鼓励职业学校利用现代信息技术推动人才培养模式改革，满足学生的多样化学习需求，大力推进“互联网+”“智能+”教育新形态，推动教育教学变革创新。探索建设政府引导、市场参与的职业教育资源共建共享机制，服务课程开发、教学设计、教学实施、教学评价。建立健全共建共享的资源认证标准和交易机制，推进国家、省、校三级专业教学资源库建设应用，进一步扩大优质资源覆盖面。遴选100个左右示范性虚拟仿真实训基地；面向公共基础课和量大面广的专业（技能）课，分级遴选5000门左右职业教育在线精品课程。引导职业学校开展信息化全员培训，提升教师和管理人员的信息化能力，以及学生利用网络信息技术和优质在线资源进行自主学习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（九）实施职业教育服务国际产能合作行动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24.加快培养国际产能合作急需人才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加强职业学校与境外中资企业合作，支持职业学校到国（境）外办学，培育一批“鲁班工坊”，培养熟悉中华传统文化、中资企业急需的本土技术技能人才。鼓励国家开放大学建设海外学习中心，推动中国与产能合作国远程教育培训合作。统筹利用现有资源，实施“职业院校教师教学创新团队境外培训计划”，选派一大批专业带头人和骨干教师出国研修访学。鼓励引进国（境）外优质职业教育机构来华合作办学，促进国际经验的本土化、再创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25.提升职业教育国际影响力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推进“中文+职业技能”项目，助力中国职业教育走出去，提升国际影响力。引导职业学校与国（境）外优秀职业教育机构联合开展学术研究、标准研制、师生交流等合作项目，促进国内职业教育优秀成果海外推介。对接联合国教科文组织，积极承办世界职业教育大会，在“一带一路”沿线国家举办中国职业教育发展成果展，贡献职业教育的中国智慧、中国经验和中国方案，展示当代中国良好形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（十）实施职业教育创新发展高地建设行动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26.整省推进职业教育提质培优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主动适应国家区域发展战略，在东中西部布局5个左右国家职业教育改革省域试点。按照“一地一案、分区推进”原则，在学校设置、重点项目建设等方面加大政策供给，支持试点省份探索新时代区域职业教育改革发展新模式。引导地方落实主体责任，完善地方职业教育工作部门联席会议制度，推动各部门形成工作合力，优化职业教育办学体制机制，加强治理体系和治理能力现代化建设，探索职业学校毕业生高质量就业模式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27.合力打造职业教育样板城市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国家、省、市三级推动，建设10个左右国家职业教育改革市域试点。支持地市政府把握功能区定位，加强市场化资源配置，在职业教育服务城市文明、服务城市创新、服务民生需求、服务绿色发展等领域重点突破、先行示范，率先建成与城市经济和民生相适应的现代职业教育体系，开创职业教育开放办学新格局，形成一批基层首创的改革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w:t>
      </w:r>
      <w:r>
        <w:rPr>
          <w:rFonts w:hint="eastAsia" w:ascii="仿宋_GB2312" w:hAnsi="仿宋_GB2312" w:eastAsia="仿宋_GB2312" w:cs="仿宋_GB2312"/>
          <w:b/>
          <w:color w:val="4B4B4B"/>
          <w:sz w:val="24"/>
          <w:szCs w:val="24"/>
          <w:shd w:val="clear" w:fill="FFFFFF"/>
        </w:rPr>
        <w:t>三、组织实施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（一）加强党的全面领导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把加强党的全面领导落实到职业教育提质培优工作的各方面全过程。全面贯彻党的教育方针，落实中央教育工作领导小组各项要求，完善省（区、市）委教育工作领导小组定期研究职业教育工作制度。按照社会主义政治家、教育家的要求选好配强职业学校领导班子。职业学校要选优配强院（系）领导班子特别是党政正职，全面开展党组织“对标争先”建设计划，促进学校各级党组织组织力全面提升。全面实施教师党支部书记“双带头人”培育工程。强化党组织在职业学校的领导核心和政治核心作用，履行好管党治党主体责任，牢牢把握学校意识形态工作领导权，引导广大师生增强“四个意识”、坚定“四个自信”、做到“两个维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（二）完善职业教育财政支持机制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新增教育经费要向职业教育倾斜，逐步建立与办学规模、培养成本、办学质量相适应的财政投入制度，进一步完善职业学校生均拨款制度，合理确定生均财政拨款水平。支持地方将职业教育纳入地方政府专项债券资金支持范围。鼓励社会力量兴办职业教育，健全成本分担机制，落实举办者的投入责任，拓宽经费来源渠道。各地可通过购买服务、助学贷款、奖助学金等方式对民办职业学校予以扶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（三）完善协同推进机制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国务院职业教育工作部际联席会议加强对“行动计划”实施工作的指导，教育部负责实施工作的统筹协调，国务院相关部门在职责分工范围内落实相应任务。完善国家职业教育指导咨询委员会工作机制，进一步提高政府科学化决策的水平。国务院相关部门建立“行动计划”执行情况检查通报制度。各地有关部门积极承接任务项目、制定工作方案、协调支持经费、加大政策供给，将“行动计划”与“十四五”事业发展同规划、同部署、同考核，确保改革发展任务落地。 “行动计划”执行情况作为省级政府履行教育职责的重要内容。各地实施成效作为国家新一轮重大改革试点项目遴选的重要依据。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（四）营造良好发展氛围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加快推进修订和落实《中华人民共和国职业教育法》，鼓励地方因地制宜制定和颁布促进职业教育发展的地方性法规。办好全国职业院校技能大赛，发挥以赛促教促学的引领作用。办好职业教育活动周和世界青年技能日宣传活动，深入开展“大国工匠进校园”“劳模进校园”“优秀职校生校园分享”等活动。办好全民终身学习活动周，开展“百姓学习之星”和“终身学习品牌项目”等认定、宣传和展示活动。加强中央和地方主流媒体、新兴媒体对职业教育的宣传力度，打造一批形式多样的职业教育宣传品牌。鼓励职业学校建好用好新型宣传平台，讲好身边的职教故事。常态化开展职业学校校园开放、企业开放日、面向中小学生的职业体验、面向社会的便民服务、职教成果展示等宣传展示及服务活动，提升职业教育的影响力和美誉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仿宋_GB2312" w:hAnsi="仿宋_GB2312" w:eastAsia="仿宋_GB2312" w:cs="仿宋_GB2312"/>
          <w:color w:val="4B4B4B"/>
          <w:sz w:val="24"/>
          <w:szCs w:val="24"/>
        </w:rPr>
      </w:pPr>
      <w:r>
        <w:rPr>
          <w:rFonts w:hint="eastAsia" w:ascii="仿宋_GB2312" w:hAnsi="仿宋_GB2312" w:eastAsia="仿宋_GB2312" w:cs="仿宋_GB2312"/>
          <w:color w:val="4B4B4B"/>
          <w:sz w:val="24"/>
          <w:szCs w:val="24"/>
          <w:shd w:val="clear" w:fill="FFFFFF"/>
        </w:rPr>
        <w:t>　　附表：</w:t>
      </w:r>
      <w:r>
        <w:rPr>
          <w:rFonts w:hint="eastAsia" w:ascii="仿宋_GB2312" w:hAnsi="仿宋_GB2312" w:eastAsia="仿宋_GB2312" w:cs="仿宋_GB2312"/>
          <w:color w:val="0000FF"/>
          <w:sz w:val="24"/>
          <w:szCs w:val="24"/>
          <w:u w:val="none"/>
          <w:shd w:val="clear" w:fill="FFFFFF"/>
        </w:rPr>
        <w:fldChar w:fldCharType="begin"/>
      </w:r>
      <w:r>
        <w:rPr>
          <w:rFonts w:hint="eastAsia" w:ascii="仿宋_GB2312" w:hAnsi="仿宋_GB2312" w:eastAsia="仿宋_GB2312" w:cs="仿宋_GB2312"/>
          <w:color w:val="0000FF"/>
          <w:sz w:val="24"/>
          <w:szCs w:val="24"/>
          <w:u w:val="none"/>
          <w:shd w:val="clear" w:fill="FFFFFF"/>
        </w:rPr>
        <w:instrText xml:space="preserve"> HYPERLINK "http://www.moe.gov.cn/srcsite/A07/zcs_zhgg/202009/W020200929310833599664.docx" \t "http://www.moe.gov.cn/srcsite/A07/zcs_zhgg/202009/_blank" </w:instrText>
      </w:r>
      <w:r>
        <w:rPr>
          <w:rFonts w:hint="eastAsia" w:ascii="仿宋_GB2312" w:hAnsi="仿宋_GB2312" w:eastAsia="仿宋_GB2312" w:cs="仿宋_GB2312"/>
          <w:color w:val="0000FF"/>
          <w:sz w:val="24"/>
          <w:szCs w:val="24"/>
          <w:u w:val="none"/>
          <w:shd w:val="clear" w:fill="FFFFFF"/>
        </w:rPr>
        <w:fldChar w:fldCharType="separate"/>
      </w:r>
      <w:r>
        <w:rPr>
          <w:rStyle w:val="6"/>
          <w:rFonts w:hint="eastAsia" w:ascii="仿宋_GB2312" w:hAnsi="仿宋_GB2312" w:eastAsia="仿宋_GB2312" w:cs="仿宋_GB2312"/>
          <w:color w:val="0000FF"/>
          <w:sz w:val="24"/>
          <w:szCs w:val="24"/>
          <w:u w:val="none"/>
          <w:shd w:val="clear" w:fill="FFFFFF"/>
        </w:rPr>
        <w:t>重点任务（项目）一览表</w:t>
      </w:r>
      <w:r>
        <w:rPr>
          <w:rFonts w:hint="eastAsia" w:ascii="仿宋_GB2312" w:hAnsi="仿宋_GB2312" w:eastAsia="仿宋_GB2312" w:cs="仿宋_GB2312"/>
          <w:color w:val="0000FF"/>
          <w:sz w:val="24"/>
          <w:szCs w:val="24"/>
          <w:u w:val="none"/>
          <w:shd w:val="clear" w:fill="FFFFFF"/>
        </w:rPr>
        <w:fldChar w:fldCharType="end"/>
      </w:r>
    </w:p>
    <w:p/>
    <w:sectPr>
      <w:pgSz w:w="11906" w:h="16838"/>
      <w:pgMar w:top="1417" w:right="1417" w:bottom="1134"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隶书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E0D49"/>
    <w:rsid w:val="32A02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none"/>
    </w:rPr>
  </w:style>
  <w:style w:type="character" w:styleId="6">
    <w:name w:val="Hyperlink"/>
    <w:basedOn w:val="4"/>
    <w:uiPriority w:val="0"/>
    <w:rPr>
      <w:color w:val="0000FF"/>
      <w:u w:val="none"/>
    </w:rPr>
  </w:style>
  <w:style w:type="character" w:customStyle="1" w:styleId="8">
    <w:name w:val="hover21"/>
    <w:basedOn w:val="4"/>
    <w:uiPriority w:val="0"/>
    <w:rPr>
      <w:color w:val="557EE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2020-10-25T13:11:51Z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