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sz w:val="36"/>
          <w:szCs w:val="36"/>
        </w:rPr>
      </w:pPr>
    </w:p>
    <w:p>
      <w:pPr>
        <w:jc w:val="center"/>
        <w:rPr>
          <w:rFonts w:hint="eastAsia" w:ascii="华文中宋" w:hAnsi="华文中宋" w:eastAsia="华文中宋"/>
          <w:sz w:val="36"/>
          <w:szCs w:val="36"/>
        </w:rPr>
      </w:pPr>
    </w:p>
    <w:p>
      <w:pPr>
        <w:jc w:val="center"/>
        <w:rPr>
          <w:rFonts w:hint="eastAsia" w:ascii="华文中宋" w:hAnsi="华文中宋" w:eastAsia="华文中宋"/>
          <w:sz w:val="36"/>
          <w:szCs w:val="36"/>
        </w:rPr>
      </w:pPr>
    </w:p>
    <w:p>
      <w:pPr>
        <w:jc w:val="center"/>
        <w:rPr>
          <w:rFonts w:ascii="华文中宋" w:hAnsi="华文中宋" w:eastAsia="华文中宋"/>
          <w:sz w:val="36"/>
          <w:szCs w:val="36"/>
        </w:rPr>
      </w:pPr>
      <w:r>
        <w:rPr>
          <w:rFonts w:hint="eastAsia" w:ascii="华文中宋" w:hAnsi="华文中宋" w:eastAsia="华文中宋"/>
          <w:sz w:val="36"/>
          <w:szCs w:val="36"/>
        </w:rPr>
        <w:t>初等教育学院党员、教职工政治理论学习、业务学习</w:t>
      </w:r>
    </w:p>
    <w:p>
      <w:pPr>
        <w:jc w:val="center"/>
        <w:rPr>
          <w:rFonts w:ascii="华文中宋" w:hAnsi="华文中宋" w:eastAsia="华文中宋"/>
          <w:sz w:val="36"/>
          <w:szCs w:val="36"/>
        </w:rPr>
      </w:pPr>
      <w:r>
        <w:rPr>
          <w:rFonts w:hint="eastAsia" w:ascii="华文中宋" w:hAnsi="华文中宋" w:eastAsia="华文中宋"/>
          <w:sz w:val="36"/>
          <w:szCs w:val="36"/>
        </w:rPr>
        <w:t>202</w:t>
      </w:r>
      <w:r>
        <w:rPr>
          <w:rFonts w:hint="eastAsia" w:ascii="华文中宋" w:hAnsi="华文中宋" w:eastAsia="华文中宋"/>
          <w:sz w:val="36"/>
          <w:szCs w:val="36"/>
          <w:lang w:val="en-US" w:eastAsia="zh-CN"/>
        </w:rPr>
        <w:t>2</w:t>
      </w:r>
      <w:r>
        <w:rPr>
          <w:rFonts w:hint="eastAsia" w:ascii="华文中宋" w:hAnsi="华文中宋" w:eastAsia="华文中宋"/>
          <w:sz w:val="36"/>
          <w:szCs w:val="36"/>
        </w:rPr>
        <w:t>年</w:t>
      </w:r>
      <w:r>
        <w:rPr>
          <w:rFonts w:hint="eastAsia" w:ascii="华文中宋" w:hAnsi="华文中宋" w:eastAsia="华文中宋"/>
          <w:sz w:val="36"/>
          <w:szCs w:val="36"/>
          <w:lang w:val="en-US" w:eastAsia="zh-CN"/>
        </w:rPr>
        <w:t>2</w:t>
      </w:r>
      <w:r>
        <w:rPr>
          <w:rFonts w:hint="eastAsia" w:ascii="华文中宋" w:hAnsi="华文中宋" w:eastAsia="华文中宋"/>
          <w:sz w:val="36"/>
          <w:szCs w:val="36"/>
        </w:rPr>
        <w:t>月份学习安排</w:t>
      </w:r>
    </w:p>
    <w:p>
      <w:pPr>
        <w:adjustRightInd w:val="0"/>
        <w:snapToGrid w:val="0"/>
        <w:spacing w:line="360" w:lineRule="auto"/>
        <w:ind w:firstLine="420" w:firstLineChars="200"/>
        <w:jc w:val="right"/>
        <w:rPr>
          <w:rFonts w:ascii="仿宋_GB2312" w:hAnsi="宋体" w:eastAsia="仿宋_GB2312"/>
          <w:szCs w:val="21"/>
        </w:rPr>
      </w:pPr>
    </w:p>
    <w:p>
      <w:pPr>
        <w:keepNext w:val="0"/>
        <w:keepLines w:val="0"/>
        <w:pageBreakBefore w:val="0"/>
        <w:widowControl w:val="0"/>
        <w:kinsoku/>
        <w:wordWrap/>
        <w:overflowPunct/>
        <w:topLinePunct w:val="0"/>
        <w:autoSpaceDE/>
        <w:autoSpaceDN/>
        <w:bidi w:val="0"/>
        <w:adjustRightInd w:val="0"/>
        <w:snapToGrid w:val="0"/>
        <w:spacing w:line="348" w:lineRule="auto"/>
        <w:jc w:val="right"/>
        <w:textAlignment w:val="auto"/>
        <w:rPr>
          <w:rFonts w:ascii="仿宋_GB2312" w:eastAsia="仿宋_GB2312"/>
          <w:sz w:val="32"/>
          <w:szCs w:val="32"/>
        </w:rPr>
      </w:pPr>
      <w:r>
        <w:rPr>
          <w:rFonts w:hint="eastAsia" w:ascii="仿宋_GB2312" w:eastAsia="仿宋_GB2312"/>
          <w:sz w:val="32"/>
          <w:szCs w:val="32"/>
        </w:rPr>
        <w:t>初教党[20</w:t>
      </w:r>
      <w:r>
        <w:rPr>
          <w:rFonts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w:t>
      </w:r>
      <w:r>
        <w:rPr>
          <w:rFonts w:hint="eastAsia" w:ascii="仿宋_GB2312" w:eastAsia="仿宋_GB2312"/>
          <w:sz w:val="32"/>
          <w:szCs w:val="32"/>
          <w:lang w:val="en-US" w:eastAsia="zh-CN"/>
        </w:rPr>
        <w:t>3</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val="0"/>
        <w:snapToGrid w:val="0"/>
        <w:spacing w:line="348" w:lineRule="auto"/>
        <w:textAlignment w:val="auto"/>
        <w:rPr>
          <w:rFonts w:ascii="仿宋_GB2312" w:hAnsi="仿宋_GB2312" w:eastAsia="仿宋_GB2312" w:cs="仿宋_GB2312"/>
          <w:b/>
          <w:spacing w:val="-4"/>
          <w:sz w:val="32"/>
          <w:szCs w:val="32"/>
        </w:rPr>
      </w:pPr>
      <w:r>
        <w:rPr>
          <w:rFonts w:hint="eastAsia" w:ascii="仿宋_GB2312" w:hAnsi="仿宋_GB2312" w:eastAsia="仿宋_GB2312" w:cs="仿宋_GB2312"/>
          <w:b/>
          <w:spacing w:val="-4"/>
          <w:sz w:val="32"/>
          <w:szCs w:val="32"/>
        </w:rPr>
        <w:t>一、学习内容</w:t>
      </w:r>
    </w:p>
    <w:p>
      <w:pPr>
        <w:keepNext w:val="0"/>
        <w:keepLines w:val="0"/>
        <w:pageBreakBefore w:val="0"/>
        <w:widowControl w:val="0"/>
        <w:kinsoku/>
        <w:wordWrap/>
        <w:overflowPunct/>
        <w:topLinePunct w:val="0"/>
        <w:autoSpaceDE/>
        <w:autoSpaceDN/>
        <w:bidi w:val="0"/>
        <w:snapToGrid w:val="0"/>
        <w:spacing w:line="348" w:lineRule="auto"/>
        <w:ind w:firstLine="312" w:firstLineChars="100"/>
        <w:jc w:val="left"/>
        <w:textAlignment w:val="auto"/>
        <w:rPr>
          <w:rFonts w:hint="eastAsia"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（一）全体教职工、全体党员学习内容</w:t>
      </w:r>
    </w:p>
    <w:p>
      <w:pPr>
        <w:keepNext w:val="0"/>
        <w:keepLines w:val="0"/>
        <w:pageBreakBefore w:val="0"/>
        <w:widowControl w:val="0"/>
        <w:kinsoku/>
        <w:wordWrap/>
        <w:overflowPunct/>
        <w:topLinePunct w:val="0"/>
        <w:autoSpaceDE/>
        <w:autoSpaceDN/>
        <w:bidi w:val="0"/>
        <w:snapToGrid w:val="0"/>
        <w:spacing w:line="348" w:lineRule="auto"/>
        <w:ind w:firstLine="624" w:firstLineChars="200"/>
        <w:jc w:val="left"/>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1. 习近平：以史为鉴、开</w:t>
      </w:r>
      <w:bookmarkStart w:id="0" w:name="_GoBack"/>
      <w:bookmarkEnd w:id="0"/>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创未来 埋头苦干、勇毅前行</w:t>
      </w:r>
    </w:p>
    <w:p>
      <w:pPr>
        <w:keepNext w:val="0"/>
        <w:keepLines w:val="0"/>
        <w:pageBreakBefore w:val="0"/>
        <w:widowControl w:val="0"/>
        <w:kinsoku/>
        <w:wordWrap/>
        <w:overflowPunct/>
        <w:topLinePunct w:val="0"/>
        <w:autoSpaceDE/>
        <w:autoSpaceDN/>
        <w:bidi w:val="0"/>
        <w:snapToGrid w:val="0"/>
        <w:spacing w:line="348" w:lineRule="auto"/>
        <w:ind w:firstLine="624" w:firstLineChars="200"/>
        <w:jc w:val="left"/>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pacing w:val="-4"/>
          <w:sz w:val="32"/>
          <w:szCs w:val="32"/>
          <w14:textFill>
            <w14:solidFill>
              <w14:schemeClr w14:val="tx1"/>
            </w14:solidFill>
          </w14:textFill>
        </w:rPr>
        <w:t xml:space="preserve">. </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坚定信心 勇毅前行 共创后疫情时代美好世界——习近平在2022年世界经济论坛视频会议的演讲</w:t>
      </w:r>
    </w:p>
    <w:p>
      <w:pPr>
        <w:keepNext w:val="0"/>
        <w:keepLines w:val="0"/>
        <w:pageBreakBefore w:val="0"/>
        <w:widowControl w:val="0"/>
        <w:kinsoku/>
        <w:wordWrap/>
        <w:overflowPunct/>
        <w:topLinePunct w:val="0"/>
        <w:autoSpaceDE/>
        <w:autoSpaceDN/>
        <w:bidi w:val="0"/>
        <w:snapToGrid w:val="0"/>
        <w:spacing w:line="348" w:lineRule="auto"/>
        <w:ind w:firstLine="624" w:firstLineChars="200"/>
        <w:jc w:val="left"/>
        <w:textAlignment w:val="auto"/>
        <w:rPr>
          <w:rFonts w:hint="default"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 xml:space="preserve">3. </w:t>
      </w:r>
      <w:r>
        <w:rPr>
          <w:rFonts w:hint="default" w:ascii="仿宋_GB2312" w:hAnsi="仿宋_GB2312" w:eastAsia="仿宋_GB2312" w:cs="仿宋_GB2312"/>
          <w:color w:val="000000" w:themeColor="text1"/>
          <w:spacing w:val="-4"/>
          <w:sz w:val="32"/>
          <w:szCs w:val="32"/>
          <w:lang w:val="en-US" w:eastAsia="zh-CN"/>
          <w14:textFill>
            <w14:solidFill>
              <w14:schemeClr w14:val="tx1"/>
            </w14:solidFill>
          </w14:textFill>
        </w:rPr>
        <w:t>中国共产党第十九届中央纪律检查委员会第六次全体会议公报</w:t>
      </w:r>
    </w:p>
    <w:p>
      <w:pPr>
        <w:keepNext w:val="0"/>
        <w:keepLines w:val="0"/>
        <w:pageBreakBefore w:val="0"/>
        <w:widowControl w:val="0"/>
        <w:kinsoku/>
        <w:wordWrap/>
        <w:overflowPunct/>
        <w:topLinePunct w:val="0"/>
        <w:autoSpaceDE/>
        <w:autoSpaceDN/>
        <w:bidi w:val="0"/>
        <w:snapToGrid w:val="0"/>
        <w:spacing w:line="348" w:lineRule="auto"/>
        <w:ind w:firstLine="624" w:firstLineChars="200"/>
        <w:jc w:val="left"/>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4. 习近平在十九届中央纪委六次全会上发表重要讲话强调坚持严的主基调不动摇 坚持不懈把全面从严治党向纵深推进</w:t>
      </w:r>
    </w:p>
    <w:p>
      <w:pPr>
        <w:keepNext w:val="0"/>
        <w:keepLines w:val="0"/>
        <w:pageBreakBefore w:val="0"/>
        <w:widowControl w:val="0"/>
        <w:kinsoku/>
        <w:wordWrap/>
        <w:overflowPunct/>
        <w:topLinePunct w:val="0"/>
        <w:autoSpaceDE/>
        <w:autoSpaceDN/>
        <w:bidi w:val="0"/>
        <w:snapToGrid w:val="0"/>
        <w:spacing w:line="348" w:lineRule="auto"/>
        <w:ind w:firstLine="624" w:firstLineChars="200"/>
        <w:jc w:val="left"/>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5.习近平：在二〇二二年春节团拜会上的讲话</w:t>
      </w:r>
    </w:p>
    <w:p>
      <w:pPr>
        <w:keepNext w:val="0"/>
        <w:keepLines w:val="0"/>
        <w:pageBreakBefore w:val="0"/>
        <w:widowControl w:val="0"/>
        <w:kinsoku/>
        <w:wordWrap/>
        <w:overflowPunct/>
        <w:topLinePunct w:val="0"/>
        <w:autoSpaceDE/>
        <w:autoSpaceDN/>
        <w:bidi w:val="0"/>
        <w:snapToGrid w:val="0"/>
        <w:spacing w:line="348" w:lineRule="auto"/>
        <w:ind w:firstLine="624" w:firstLineChars="200"/>
        <w:jc w:val="left"/>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6.兰州职业技术学院关于进一步加强学生实习管理工作的通知</w:t>
      </w:r>
    </w:p>
    <w:p>
      <w:pPr>
        <w:keepNext w:val="0"/>
        <w:keepLines w:val="0"/>
        <w:pageBreakBefore w:val="0"/>
        <w:widowControl w:val="0"/>
        <w:kinsoku/>
        <w:wordWrap/>
        <w:overflowPunct/>
        <w:topLinePunct w:val="0"/>
        <w:autoSpaceDE/>
        <w:autoSpaceDN/>
        <w:bidi w:val="0"/>
        <w:snapToGrid w:val="0"/>
        <w:spacing w:line="348" w:lineRule="auto"/>
        <w:ind w:firstLine="624" w:firstLineChars="200"/>
        <w:jc w:val="left"/>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7.教育部等八部门联合印发《职业学校学生实习管理规定》</w:t>
      </w:r>
    </w:p>
    <w:p>
      <w:pPr>
        <w:keepNext w:val="0"/>
        <w:keepLines w:val="0"/>
        <w:pageBreakBefore w:val="0"/>
        <w:widowControl w:val="0"/>
        <w:kinsoku/>
        <w:wordWrap/>
        <w:overflowPunct/>
        <w:topLinePunct w:val="0"/>
        <w:autoSpaceDE/>
        <w:autoSpaceDN/>
        <w:bidi w:val="0"/>
        <w:snapToGrid w:val="0"/>
        <w:spacing w:line="348" w:lineRule="auto"/>
        <w:ind w:firstLine="624" w:firstLineChars="200"/>
        <w:jc w:val="left"/>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8.科学精准做好寒假、春节和冬奥会期间教育系统疫情防控工作——2022年第1次全国教育系统疫情防控工作视频调度会议召开</w:t>
      </w:r>
    </w:p>
    <w:p>
      <w:pPr>
        <w:keepNext w:val="0"/>
        <w:keepLines w:val="0"/>
        <w:pageBreakBefore w:val="0"/>
        <w:widowControl w:val="0"/>
        <w:kinsoku/>
        <w:wordWrap/>
        <w:overflowPunct/>
        <w:topLinePunct w:val="0"/>
        <w:autoSpaceDE/>
        <w:autoSpaceDN/>
        <w:bidi w:val="0"/>
        <w:snapToGrid w:val="0"/>
        <w:spacing w:line="348" w:lineRule="auto"/>
        <w:ind w:firstLine="624" w:firstLineChars="200"/>
        <w:jc w:val="left"/>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9. 兰州职业技术学院构建课堂生态工作方案（2021-2022）</w:t>
      </w:r>
    </w:p>
    <w:p>
      <w:pPr>
        <w:keepNext w:val="0"/>
        <w:keepLines w:val="0"/>
        <w:pageBreakBefore w:val="0"/>
        <w:widowControl w:val="0"/>
        <w:kinsoku/>
        <w:wordWrap/>
        <w:overflowPunct/>
        <w:topLinePunct w:val="0"/>
        <w:autoSpaceDE/>
        <w:autoSpaceDN/>
        <w:bidi w:val="0"/>
        <w:snapToGrid w:val="0"/>
        <w:spacing w:line="348" w:lineRule="auto"/>
        <w:ind w:firstLine="624" w:firstLineChars="200"/>
        <w:jc w:val="left"/>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snapToGrid w:val="0"/>
        <w:spacing w:line="348" w:lineRule="auto"/>
        <w:jc w:val="left"/>
        <w:textAlignment w:val="auto"/>
        <w:rPr>
          <w:rFonts w:ascii="仿宋_GB2312" w:hAnsi="仿宋_GB2312" w:eastAsia="仿宋_GB2312" w:cs="仿宋_GB2312"/>
          <w:b/>
          <w:bCs/>
          <w:color w:val="000000" w:themeColor="text1"/>
          <w:spacing w:val="-4"/>
          <w:sz w:val="32"/>
          <w:szCs w:val="32"/>
          <w14:textFill>
            <w14:solidFill>
              <w14:schemeClr w14:val="tx1"/>
            </w14:solidFill>
          </w14:textFill>
        </w:rPr>
      </w:pPr>
      <w:r>
        <w:rPr>
          <w:rFonts w:hint="eastAsia" w:ascii="仿宋_GB2312" w:hAnsi="仿宋_GB2312" w:eastAsia="仿宋_GB2312" w:cs="仿宋_GB2312"/>
          <w:b/>
          <w:bCs/>
          <w:color w:val="000000" w:themeColor="text1"/>
          <w:spacing w:val="-4"/>
          <w:sz w:val="32"/>
          <w:szCs w:val="32"/>
          <w14:textFill>
            <w14:solidFill>
              <w14:schemeClr w14:val="tx1"/>
            </w14:solidFill>
          </w14:textFill>
        </w:rPr>
        <w:t>（二）全体党员学习内容</w:t>
      </w:r>
    </w:p>
    <w:p>
      <w:pPr>
        <w:keepNext w:val="0"/>
        <w:keepLines w:val="0"/>
        <w:pageBreakBefore w:val="0"/>
        <w:widowControl w:val="0"/>
        <w:kinsoku/>
        <w:wordWrap/>
        <w:overflowPunct/>
        <w:topLinePunct w:val="0"/>
        <w:autoSpaceDE/>
        <w:autoSpaceDN/>
        <w:bidi w:val="0"/>
        <w:adjustRightInd w:val="0"/>
        <w:snapToGrid w:val="0"/>
        <w:spacing w:line="348"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10. 中国共产党支部工作条例</w:t>
      </w:r>
    </w:p>
    <w:p>
      <w:pPr>
        <w:keepNext w:val="0"/>
        <w:keepLines w:val="0"/>
        <w:pageBreakBefore w:val="0"/>
        <w:widowControl w:val="0"/>
        <w:kinsoku/>
        <w:wordWrap/>
        <w:overflowPunct/>
        <w:topLinePunct w:val="0"/>
        <w:autoSpaceDE/>
        <w:autoSpaceDN/>
        <w:bidi w:val="0"/>
        <w:adjustRightInd w:val="0"/>
        <w:snapToGrid w:val="0"/>
        <w:spacing w:line="348"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11. 《党的十九届六中全会&lt;决议&gt;学习辅导百问》</w:t>
      </w:r>
    </w:p>
    <w:p>
      <w:pPr>
        <w:keepNext w:val="0"/>
        <w:keepLines w:val="0"/>
        <w:pageBreakBefore w:val="0"/>
        <w:widowControl w:val="0"/>
        <w:kinsoku/>
        <w:wordWrap/>
        <w:overflowPunct/>
        <w:topLinePunct w:val="0"/>
        <w:autoSpaceDE/>
        <w:autoSpaceDN/>
        <w:bidi w:val="0"/>
        <w:adjustRightInd w:val="0"/>
        <w:snapToGrid w:val="0"/>
        <w:spacing w:line="348" w:lineRule="auto"/>
        <w:textAlignment w:val="auto"/>
        <w:rPr>
          <w:rFonts w:ascii="仿宋_GB2312" w:hAnsi="仿宋_GB2312" w:eastAsia="仿宋_GB2312" w:cs="仿宋_GB2312"/>
          <w:b/>
          <w:color w:val="000000" w:themeColor="text1"/>
          <w:spacing w:val="-4"/>
          <w:sz w:val="32"/>
          <w:szCs w:val="32"/>
          <w14:textFill>
            <w14:solidFill>
              <w14:schemeClr w14:val="tx1"/>
            </w14:solidFill>
          </w14:textFill>
        </w:rPr>
      </w:pPr>
      <w:r>
        <w:rPr>
          <w:rFonts w:hint="eastAsia" w:ascii="仿宋_GB2312" w:hAnsi="仿宋_GB2312" w:eastAsia="仿宋_GB2312" w:cs="仿宋_GB2312"/>
          <w:b/>
          <w:color w:val="000000" w:themeColor="text1"/>
          <w:spacing w:val="-4"/>
          <w:sz w:val="32"/>
          <w:szCs w:val="32"/>
          <w14:textFill>
            <w14:solidFill>
              <w14:schemeClr w14:val="tx1"/>
            </w14:solidFill>
          </w14:textFill>
        </w:rPr>
        <w:t>（三）党总支理论中心组学习内容</w:t>
      </w:r>
    </w:p>
    <w:p>
      <w:pPr>
        <w:keepNext w:val="0"/>
        <w:keepLines w:val="0"/>
        <w:pageBreakBefore w:val="0"/>
        <w:widowControl w:val="0"/>
        <w:kinsoku/>
        <w:wordWrap/>
        <w:overflowPunct/>
        <w:topLinePunct w:val="0"/>
        <w:autoSpaceDE/>
        <w:autoSpaceDN/>
        <w:bidi w:val="0"/>
        <w:adjustRightInd w:val="0"/>
        <w:snapToGrid w:val="0"/>
        <w:spacing w:line="348" w:lineRule="auto"/>
        <w:ind w:firstLine="624" w:firstLineChars="200"/>
        <w:textAlignment w:val="auto"/>
        <w:rPr>
          <w:rFonts w:hint="eastAsia"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1</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pacing w:val="-4"/>
          <w:sz w:val="32"/>
          <w:szCs w:val="32"/>
          <w14:textFill>
            <w14:solidFill>
              <w14:schemeClr w14:val="tx1"/>
            </w14:solidFill>
          </w14:textFill>
        </w:rPr>
        <w:t>.学院党委《202</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pacing w:val="-4"/>
          <w:sz w:val="32"/>
          <w:szCs w:val="32"/>
          <w14:textFill>
            <w14:solidFill>
              <w14:schemeClr w14:val="tx1"/>
            </w14:solidFill>
          </w14:textFill>
        </w:rPr>
        <w:t>年</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pacing w:val="-4"/>
          <w:sz w:val="32"/>
          <w:szCs w:val="32"/>
          <w14:textFill>
            <w14:solidFill>
              <w14:schemeClr w14:val="tx1"/>
            </w14:solidFill>
          </w14:textFill>
        </w:rPr>
        <w:t>月政治理论学习安排》中涉及的学习内容。</w:t>
      </w:r>
    </w:p>
    <w:p>
      <w:pPr>
        <w:keepNext w:val="0"/>
        <w:keepLines w:val="0"/>
        <w:pageBreakBefore w:val="0"/>
        <w:widowControl w:val="0"/>
        <w:kinsoku/>
        <w:wordWrap/>
        <w:overflowPunct/>
        <w:topLinePunct w:val="0"/>
        <w:autoSpaceDE/>
        <w:autoSpaceDN/>
        <w:bidi w:val="0"/>
        <w:adjustRightInd w:val="0"/>
        <w:snapToGrid w:val="0"/>
        <w:spacing w:line="348" w:lineRule="auto"/>
        <w:ind w:firstLine="624" w:firstLineChars="200"/>
        <w:textAlignment w:val="auto"/>
        <w:rPr>
          <w:rFonts w:hint="eastAsia"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13.</w:t>
      </w:r>
      <w:r>
        <w:rPr>
          <w:rFonts w:hint="eastAsia" w:ascii="仿宋_GB2312" w:hAnsi="仿宋_GB2312" w:eastAsia="仿宋_GB2312" w:cs="仿宋_GB2312"/>
          <w:color w:val="000000" w:themeColor="text1"/>
          <w:spacing w:val="-4"/>
          <w:sz w:val="32"/>
          <w:szCs w:val="32"/>
          <w14:textFill>
            <w14:solidFill>
              <w14:schemeClr w14:val="tx1"/>
            </w14:solidFill>
          </w14:textFill>
        </w:rPr>
        <w:t>中华人民共和国教育法</w:t>
      </w:r>
    </w:p>
    <w:p>
      <w:pPr>
        <w:keepNext w:val="0"/>
        <w:keepLines w:val="0"/>
        <w:pageBreakBefore w:val="0"/>
        <w:widowControl w:val="0"/>
        <w:kinsoku/>
        <w:wordWrap/>
        <w:overflowPunct/>
        <w:topLinePunct w:val="0"/>
        <w:autoSpaceDE/>
        <w:autoSpaceDN/>
        <w:bidi w:val="0"/>
        <w:adjustRightInd w:val="0"/>
        <w:snapToGrid w:val="0"/>
        <w:spacing w:line="348" w:lineRule="auto"/>
        <w:textAlignment w:val="auto"/>
        <w:rPr>
          <w:rFonts w:ascii="仿宋_GB2312" w:hAnsi="仿宋_GB2312" w:eastAsia="仿宋_GB2312" w:cs="仿宋_GB2312"/>
          <w:b/>
          <w:color w:val="000000" w:themeColor="text1"/>
          <w:spacing w:val="-4"/>
          <w:sz w:val="32"/>
          <w:szCs w:val="32"/>
          <w14:textFill>
            <w14:solidFill>
              <w14:schemeClr w14:val="tx1"/>
            </w14:solidFill>
          </w14:textFill>
        </w:rPr>
      </w:pPr>
      <w:r>
        <w:rPr>
          <w:rFonts w:hint="eastAsia" w:ascii="仿宋_GB2312" w:hAnsi="仿宋_GB2312" w:eastAsia="仿宋_GB2312" w:cs="仿宋_GB2312"/>
          <w:b/>
          <w:color w:val="000000" w:themeColor="text1"/>
          <w:spacing w:val="-4"/>
          <w:sz w:val="32"/>
          <w:szCs w:val="32"/>
          <w14:textFill>
            <w14:solidFill>
              <w14:schemeClr w14:val="tx1"/>
            </w14:solidFill>
          </w14:textFill>
        </w:rPr>
        <w:t>二、学习要求</w:t>
      </w:r>
    </w:p>
    <w:p>
      <w:pPr>
        <w:keepNext w:val="0"/>
        <w:keepLines w:val="0"/>
        <w:pageBreakBefore w:val="0"/>
        <w:widowControl w:val="0"/>
        <w:kinsoku/>
        <w:wordWrap/>
        <w:overflowPunct/>
        <w:topLinePunct w:val="0"/>
        <w:autoSpaceDE/>
        <w:autoSpaceDN/>
        <w:bidi w:val="0"/>
        <w:adjustRightInd w:val="0"/>
        <w:snapToGrid w:val="0"/>
        <w:spacing w:line="348" w:lineRule="auto"/>
        <w:ind w:firstLine="627" w:firstLineChars="200"/>
        <w:textAlignment w:val="auto"/>
        <w:rPr>
          <w:rFonts w:ascii="仿宋_GB2312" w:hAnsi="仿宋_GB2312" w:eastAsia="仿宋_GB2312" w:cs="仿宋_GB2312"/>
          <w:b/>
          <w:bCs/>
          <w:color w:val="000000" w:themeColor="text1"/>
          <w:spacing w:val="-4"/>
          <w:sz w:val="32"/>
          <w:szCs w:val="32"/>
          <w14:textFill>
            <w14:solidFill>
              <w14:schemeClr w14:val="tx1"/>
            </w14:solidFill>
          </w14:textFill>
        </w:rPr>
      </w:pPr>
      <w:r>
        <w:rPr>
          <w:rFonts w:hint="eastAsia" w:ascii="仿宋_GB2312" w:hAnsi="仿宋_GB2312" w:eastAsia="仿宋_GB2312" w:cs="仿宋_GB2312"/>
          <w:b/>
          <w:bCs/>
          <w:color w:val="000000" w:themeColor="text1"/>
          <w:spacing w:val="-4"/>
          <w:sz w:val="32"/>
          <w:szCs w:val="32"/>
          <w14:textFill>
            <w14:solidFill>
              <w14:schemeClr w14:val="tx1"/>
            </w14:solidFill>
          </w14:textFill>
        </w:rPr>
        <w:t>（</w:t>
      </w:r>
      <w:r>
        <w:rPr>
          <w:rFonts w:hint="eastAsia" w:ascii="仿宋_GB2312" w:hAnsi="仿宋_GB2312" w:eastAsia="仿宋_GB2312" w:cs="仿宋_GB2312"/>
          <w:b/>
          <w:bCs/>
          <w:color w:val="000000" w:themeColor="text1"/>
          <w:spacing w:val="-4"/>
          <w:sz w:val="32"/>
          <w:szCs w:val="32"/>
          <w:lang w:val="en-US" w:eastAsia="zh-CN"/>
          <w14:textFill>
            <w14:solidFill>
              <w14:schemeClr w14:val="tx1"/>
            </w14:solidFill>
          </w14:textFill>
        </w:rPr>
        <w:t>一</w:t>
      </w:r>
      <w:r>
        <w:rPr>
          <w:rFonts w:hint="eastAsia" w:ascii="仿宋_GB2312" w:hAnsi="仿宋_GB2312" w:eastAsia="仿宋_GB2312" w:cs="仿宋_GB2312"/>
          <w:b/>
          <w:bCs/>
          <w:color w:val="000000" w:themeColor="text1"/>
          <w:spacing w:val="-4"/>
          <w:sz w:val="32"/>
          <w:szCs w:val="32"/>
          <w14:textFill>
            <w14:solidFill>
              <w14:schemeClr w14:val="tx1"/>
            </w14:solidFill>
          </w14:textFill>
        </w:rPr>
        <w:t>）党支部活动要求</w:t>
      </w:r>
    </w:p>
    <w:p>
      <w:pPr>
        <w:keepNext w:val="0"/>
        <w:keepLines w:val="0"/>
        <w:pageBreakBefore w:val="0"/>
        <w:widowControl w:val="0"/>
        <w:kinsoku/>
        <w:wordWrap/>
        <w:overflowPunct/>
        <w:topLinePunct w:val="0"/>
        <w:autoSpaceDE/>
        <w:autoSpaceDN/>
        <w:bidi w:val="0"/>
        <w:adjustRightInd w:val="0"/>
        <w:snapToGrid w:val="0"/>
        <w:spacing w:line="348"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 xml:space="preserve">1. </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组织集中学习。</w:t>
      </w:r>
      <w:r>
        <w:rPr>
          <w:rFonts w:hint="eastAsia" w:ascii="仿宋_GB2312" w:hAnsi="仿宋_GB2312" w:eastAsia="仿宋_GB2312" w:cs="仿宋_GB2312"/>
          <w:color w:val="000000" w:themeColor="text1"/>
          <w:spacing w:val="-4"/>
          <w:sz w:val="32"/>
          <w:szCs w:val="32"/>
          <w14:textFill>
            <w14:solidFill>
              <w14:schemeClr w14:val="tx1"/>
            </w14:solidFill>
          </w14:textFill>
        </w:rPr>
        <w:t>支部集中学习</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须</w:t>
      </w:r>
      <w:r>
        <w:rPr>
          <w:rFonts w:hint="eastAsia" w:ascii="仿宋_GB2312" w:hAnsi="仿宋_GB2312" w:eastAsia="仿宋_GB2312" w:cs="仿宋_GB2312"/>
          <w:color w:val="000000" w:themeColor="text1"/>
          <w:spacing w:val="-4"/>
          <w:sz w:val="32"/>
          <w:szCs w:val="32"/>
          <w14:textFill>
            <w14:solidFill>
              <w14:schemeClr w14:val="tx1"/>
            </w14:solidFill>
          </w14:textFill>
        </w:rPr>
        <w:t>将</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党总支要求的</w:t>
      </w:r>
      <w:r>
        <w:rPr>
          <w:rFonts w:hint="eastAsia" w:ascii="仿宋_GB2312" w:hAnsi="仿宋_GB2312" w:eastAsia="仿宋_GB2312" w:cs="仿宋_GB2312"/>
          <w:color w:val="000000" w:themeColor="text1"/>
          <w:spacing w:val="-4"/>
          <w:sz w:val="32"/>
          <w:szCs w:val="32"/>
          <w14:textFill>
            <w14:solidFill>
              <w14:schemeClr w14:val="tx1"/>
            </w14:solidFill>
          </w14:textFill>
        </w:rPr>
        <w:t>学习内容安排在“三会一课”组织生活当中，做好学习记录。</w:t>
      </w:r>
    </w:p>
    <w:p>
      <w:pPr>
        <w:keepNext w:val="0"/>
        <w:keepLines w:val="0"/>
        <w:pageBreakBefore w:val="0"/>
        <w:widowControl w:val="0"/>
        <w:kinsoku/>
        <w:wordWrap/>
        <w:overflowPunct/>
        <w:topLinePunct w:val="0"/>
        <w:autoSpaceDE/>
        <w:autoSpaceDN/>
        <w:bidi w:val="0"/>
        <w:adjustRightInd w:val="0"/>
        <w:snapToGrid w:val="0"/>
        <w:spacing w:line="348" w:lineRule="auto"/>
        <w:ind w:firstLine="624" w:firstLineChars="200"/>
        <w:textAlignment w:val="auto"/>
        <w:rPr>
          <w:rFonts w:hint="eastAsia"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 xml:space="preserve">2. </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过好组织生活。</w:t>
      </w:r>
      <w:r>
        <w:rPr>
          <w:rFonts w:hint="eastAsia" w:ascii="仿宋_GB2312" w:hAnsi="仿宋_GB2312" w:eastAsia="仿宋_GB2312" w:cs="仿宋_GB2312"/>
          <w:color w:val="000000" w:themeColor="text1"/>
          <w:spacing w:val="-4"/>
          <w:sz w:val="32"/>
          <w:szCs w:val="32"/>
          <w14:textFill>
            <w14:solidFill>
              <w14:schemeClr w14:val="tx1"/>
            </w14:solidFill>
          </w14:textFill>
        </w:rPr>
        <w:t>各支部</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要</w:t>
      </w:r>
      <w:r>
        <w:rPr>
          <w:rFonts w:hint="eastAsia" w:ascii="仿宋_GB2312" w:hAnsi="仿宋_GB2312" w:eastAsia="仿宋_GB2312" w:cs="仿宋_GB2312"/>
          <w:color w:val="000000" w:themeColor="text1"/>
          <w:spacing w:val="-4"/>
          <w:sz w:val="32"/>
          <w:szCs w:val="32"/>
          <w14:textFill>
            <w14:solidFill>
              <w14:schemeClr w14:val="tx1"/>
            </w14:solidFill>
          </w14:textFill>
        </w:rPr>
        <w:t>继续高度重视“三会一课”、主题党日等组织生活，于</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pacing w:val="-4"/>
          <w:sz w:val="32"/>
          <w:szCs w:val="32"/>
          <w14:textFill>
            <w14:solidFill>
              <w14:schemeClr w14:val="tx1"/>
            </w14:solidFill>
          </w14:textFill>
        </w:rPr>
        <w:t>月10日前精心策划、高质量完成。</w:t>
      </w:r>
    </w:p>
    <w:p>
      <w:pPr>
        <w:keepNext w:val="0"/>
        <w:keepLines w:val="0"/>
        <w:pageBreakBefore w:val="0"/>
        <w:widowControl w:val="0"/>
        <w:kinsoku/>
        <w:wordWrap/>
        <w:overflowPunct/>
        <w:topLinePunct w:val="0"/>
        <w:autoSpaceDE/>
        <w:autoSpaceDN/>
        <w:bidi w:val="0"/>
        <w:adjustRightInd w:val="0"/>
        <w:snapToGrid w:val="0"/>
        <w:spacing w:line="348" w:lineRule="auto"/>
        <w:ind w:firstLine="627" w:firstLineChars="200"/>
        <w:textAlignment w:val="auto"/>
        <w:rPr>
          <w:rFonts w:ascii="仿宋_GB2312" w:hAnsi="仿宋_GB2312" w:eastAsia="仿宋_GB2312" w:cs="仿宋_GB2312"/>
          <w:b/>
          <w:bCs/>
          <w:color w:val="000000" w:themeColor="text1"/>
          <w:spacing w:val="-4"/>
          <w:sz w:val="32"/>
          <w:szCs w:val="32"/>
          <w14:textFill>
            <w14:solidFill>
              <w14:schemeClr w14:val="tx1"/>
            </w14:solidFill>
          </w14:textFill>
        </w:rPr>
      </w:pPr>
      <w:r>
        <w:rPr>
          <w:rFonts w:hint="eastAsia" w:ascii="仿宋_GB2312" w:hAnsi="仿宋_GB2312" w:eastAsia="仿宋_GB2312" w:cs="仿宋_GB2312"/>
          <w:b/>
          <w:bCs/>
          <w:color w:val="000000" w:themeColor="text1"/>
          <w:spacing w:val="-4"/>
          <w:sz w:val="32"/>
          <w:szCs w:val="32"/>
          <w14:textFill>
            <w14:solidFill>
              <w14:schemeClr w14:val="tx1"/>
            </w14:solidFill>
          </w14:textFill>
        </w:rPr>
        <w:t>（</w:t>
      </w:r>
      <w:r>
        <w:rPr>
          <w:rFonts w:hint="eastAsia" w:ascii="仿宋_GB2312" w:hAnsi="仿宋_GB2312" w:eastAsia="仿宋_GB2312" w:cs="仿宋_GB2312"/>
          <w:b/>
          <w:bCs/>
          <w:color w:val="000000" w:themeColor="text1"/>
          <w:spacing w:val="-4"/>
          <w:sz w:val="32"/>
          <w:szCs w:val="32"/>
          <w:lang w:val="en-US" w:eastAsia="zh-CN"/>
          <w14:textFill>
            <w14:solidFill>
              <w14:schemeClr w14:val="tx1"/>
            </w14:solidFill>
          </w14:textFill>
        </w:rPr>
        <w:t>二</w:t>
      </w:r>
      <w:r>
        <w:rPr>
          <w:rFonts w:hint="eastAsia" w:ascii="仿宋_GB2312" w:hAnsi="仿宋_GB2312" w:eastAsia="仿宋_GB2312" w:cs="仿宋_GB2312"/>
          <w:b/>
          <w:bCs/>
          <w:color w:val="000000" w:themeColor="text1"/>
          <w:spacing w:val="-4"/>
          <w:sz w:val="32"/>
          <w:szCs w:val="32"/>
          <w14:textFill>
            <w14:solidFill>
              <w14:schemeClr w14:val="tx1"/>
            </w14:solidFill>
          </w14:textFill>
        </w:rPr>
        <w:t>）党员的学习要求</w:t>
      </w:r>
    </w:p>
    <w:p>
      <w:pPr>
        <w:keepNext w:val="0"/>
        <w:keepLines w:val="0"/>
        <w:pageBreakBefore w:val="0"/>
        <w:widowControl w:val="0"/>
        <w:kinsoku/>
        <w:wordWrap/>
        <w:overflowPunct/>
        <w:topLinePunct w:val="0"/>
        <w:autoSpaceDE/>
        <w:autoSpaceDN/>
        <w:bidi w:val="0"/>
        <w:adjustRightInd w:val="0"/>
        <w:snapToGrid w:val="0"/>
        <w:spacing w:line="348" w:lineRule="auto"/>
        <w:ind w:firstLine="624" w:firstLineChars="200"/>
        <w:textAlignment w:val="auto"/>
        <w:rPr>
          <w:rFonts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1. 党员的学习活动要采取支部集中学习与个人自学相结合的方式进行。</w:t>
      </w:r>
    </w:p>
    <w:p>
      <w:pPr>
        <w:keepNext w:val="0"/>
        <w:keepLines w:val="0"/>
        <w:pageBreakBefore w:val="0"/>
        <w:widowControl w:val="0"/>
        <w:kinsoku/>
        <w:wordWrap/>
        <w:overflowPunct/>
        <w:topLinePunct w:val="0"/>
        <w:autoSpaceDE/>
        <w:autoSpaceDN/>
        <w:bidi w:val="0"/>
        <w:adjustRightInd w:val="0"/>
        <w:snapToGrid w:val="0"/>
        <w:spacing w:line="348"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 xml:space="preserve">2. </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近期的</w:t>
      </w:r>
      <w:r>
        <w:rPr>
          <w:rFonts w:hint="eastAsia" w:ascii="仿宋_GB2312" w:hAnsi="仿宋_GB2312" w:eastAsia="仿宋_GB2312" w:cs="仿宋_GB2312"/>
          <w:color w:val="000000" w:themeColor="text1"/>
          <w:spacing w:val="-4"/>
          <w:sz w:val="32"/>
          <w:szCs w:val="32"/>
          <w14:textFill>
            <w14:solidFill>
              <w14:schemeClr w14:val="tx1"/>
            </w14:solidFill>
          </w14:textFill>
        </w:rPr>
        <w:t>个人自学要通读党总支本月提供的学习材料，并做好学习笔记，学习笔记将进行检查。</w:t>
      </w:r>
    </w:p>
    <w:p>
      <w:pPr>
        <w:keepNext w:val="0"/>
        <w:keepLines w:val="0"/>
        <w:pageBreakBefore w:val="0"/>
        <w:widowControl w:val="0"/>
        <w:kinsoku/>
        <w:wordWrap/>
        <w:overflowPunct/>
        <w:topLinePunct w:val="0"/>
        <w:autoSpaceDE/>
        <w:autoSpaceDN/>
        <w:bidi w:val="0"/>
        <w:adjustRightInd w:val="0"/>
        <w:snapToGrid w:val="0"/>
        <w:spacing w:line="348"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3. 关于跟进学习的内容，党总支将在QQ群或微信群当中及时发布，请全体党员随时查看、跟进学习。</w:t>
      </w:r>
    </w:p>
    <w:p>
      <w:pPr>
        <w:keepNext w:val="0"/>
        <w:keepLines w:val="0"/>
        <w:pageBreakBefore w:val="0"/>
        <w:widowControl w:val="0"/>
        <w:kinsoku/>
        <w:wordWrap/>
        <w:overflowPunct/>
        <w:topLinePunct w:val="0"/>
        <w:autoSpaceDE/>
        <w:autoSpaceDN/>
        <w:bidi w:val="0"/>
        <w:adjustRightInd w:val="0"/>
        <w:snapToGrid w:val="0"/>
        <w:spacing w:line="348" w:lineRule="auto"/>
        <w:ind w:firstLine="624" w:firstLineChars="200"/>
        <w:textAlignment w:val="auto"/>
        <w:rPr>
          <w:rFonts w:hint="eastAsia"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4. 要求每位党员登录“学习强国”和“甘肃党建”APP平台进行动态学习。</w:t>
      </w:r>
    </w:p>
    <w:p>
      <w:pPr>
        <w:keepNext w:val="0"/>
        <w:keepLines w:val="0"/>
        <w:pageBreakBefore w:val="0"/>
        <w:widowControl w:val="0"/>
        <w:kinsoku/>
        <w:wordWrap/>
        <w:overflowPunct/>
        <w:topLinePunct w:val="0"/>
        <w:autoSpaceDE/>
        <w:autoSpaceDN/>
        <w:bidi w:val="0"/>
        <w:adjustRightInd w:val="0"/>
        <w:snapToGrid w:val="0"/>
        <w:spacing w:line="348" w:lineRule="auto"/>
        <w:ind w:firstLine="627" w:firstLineChars="200"/>
        <w:textAlignment w:val="auto"/>
        <w:rPr>
          <w:rFonts w:ascii="仿宋_GB2312" w:hAnsi="仿宋_GB2312" w:eastAsia="仿宋_GB2312" w:cs="仿宋_GB2312"/>
          <w:b/>
          <w:bCs/>
          <w:color w:val="000000" w:themeColor="text1"/>
          <w:spacing w:val="-4"/>
          <w:sz w:val="32"/>
          <w:szCs w:val="32"/>
          <w14:textFill>
            <w14:solidFill>
              <w14:schemeClr w14:val="tx1"/>
            </w14:solidFill>
          </w14:textFill>
        </w:rPr>
      </w:pPr>
      <w:r>
        <w:rPr>
          <w:rFonts w:hint="eastAsia" w:ascii="仿宋_GB2312" w:hAnsi="仿宋_GB2312" w:eastAsia="仿宋_GB2312" w:cs="仿宋_GB2312"/>
          <w:b/>
          <w:bCs/>
          <w:color w:val="000000" w:themeColor="text1"/>
          <w:spacing w:val="-4"/>
          <w:sz w:val="32"/>
          <w:szCs w:val="32"/>
          <w14:textFill>
            <w14:solidFill>
              <w14:schemeClr w14:val="tx1"/>
            </w14:solidFill>
          </w14:textFill>
        </w:rPr>
        <w:t>（</w:t>
      </w:r>
      <w:r>
        <w:rPr>
          <w:rFonts w:hint="eastAsia" w:ascii="仿宋_GB2312" w:hAnsi="仿宋_GB2312" w:eastAsia="仿宋_GB2312" w:cs="仿宋_GB2312"/>
          <w:b/>
          <w:bCs/>
          <w:color w:val="000000" w:themeColor="text1"/>
          <w:spacing w:val="-4"/>
          <w:sz w:val="32"/>
          <w:szCs w:val="32"/>
          <w:lang w:val="en-US" w:eastAsia="zh-CN"/>
          <w14:textFill>
            <w14:solidFill>
              <w14:schemeClr w14:val="tx1"/>
            </w14:solidFill>
          </w14:textFill>
        </w:rPr>
        <w:t>三</w:t>
      </w:r>
      <w:r>
        <w:rPr>
          <w:rFonts w:hint="eastAsia" w:ascii="仿宋_GB2312" w:hAnsi="仿宋_GB2312" w:eastAsia="仿宋_GB2312" w:cs="仿宋_GB2312"/>
          <w:b/>
          <w:bCs/>
          <w:color w:val="000000" w:themeColor="text1"/>
          <w:spacing w:val="-4"/>
          <w:sz w:val="32"/>
          <w:szCs w:val="32"/>
          <w14:textFill>
            <w14:solidFill>
              <w14:schemeClr w14:val="tx1"/>
            </w14:solidFill>
          </w14:textFill>
        </w:rPr>
        <w:t>）教研室活动要求</w:t>
      </w:r>
    </w:p>
    <w:p>
      <w:pPr>
        <w:keepNext w:val="0"/>
        <w:keepLines w:val="0"/>
        <w:pageBreakBefore w:val="0"/>
        <w:widowControl w:val="0"/>
        <w:kinsoku/>
        <w:wordWrap/>
        <w:overflowPunct/>
        <w:topLinePunct w:val="0"/>
        <w:autoSpaceDE/>
        <w:autoSpaceDN/>
        <w:bidi w:val="0"/>
        <w:adjustRightInd w:val="0"/>
        <w:snapToGrid w:val="0"/>
        <w:spacing w:line="348" w:lineRule="auto"/>
        <w:ind w:firstLine="624" w:firstLineChars="200"/>
        <w:textAlignment w:val="auto"/>
        <w:rPr>
          <w:rFonts w:hint="default"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1. 按照</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《初等教育学院教研室教研活动规范（试行）》规定，</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要求各教研室开学前开展一次教研室活动。</w:t>
      </w:r>
    </w:p>
    <w:p>
      <w:pPr>
        <w:keepNext w:val="0"/>
        <w:keepLines w:val="0"/>
        <w:pageBreakBefore w:val="0"/>
        <w:widowControl w:val="0"/>
        <w:kinsoku/>
        <w:wordWrap/>
        <w:overflowPunct/>
        <w:topLinePunct w:val="0"/>
        <w:autoSpaceDE/>
        <w:autoSpaceDN/>
        <w:bidi w:val="0"/>
        <w:adjustRightInd w:val="0"/>
        <w:snapToGrid w:val="0"/>
        <w:spacing w:line="348"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2. 教研室活动内容须包含政治理论学习、业务学习和教研活动。</w:t>
      </w:r>
    </w:p>
    <w:p>
      <w:pPr>
        <w:keepNext w:val="0"/>
        <w:keepLines w:val="0"/>
        <w:pageBreakBefore w:val="0"/>
        <w:widowControl w:val="0"/>
        <w:kinsoku/>
        <w:wordWrap/>
        <w:overflowPunct/>
        <w:topLinePunct w:val="0"/>
        <w:autoSpaceDE/>
        <w:autoSpaceDN/>
        <w:bidi w:val="0"/>
        <w:adjustRightInd w:val="0"/>
        <w:snapToGrid w:val="0"/>
        <w:spacing w:line="348"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pacing w:val="-4"/>
          <w:sz w:val="32"/>
          <w:szCs w:val="32"/>
          <w14:textFill>
            <w14:solidFill>
              <w14:schemeClr w14:val="tx1"/>
            </w14:solidFill>
          </w14:textFill>
        </w:rPr>
        <w:t>. 教研室活动完成后，须将活动记录拍照后发至教研室主任QQ群内，并将新闻报道材料（新闻稿+照片），经教研室主任把关后发送给康译文老师。</w:t>
      </w:r>
    </w:p>
    <w:p>
      <w:pPr>
        <w:keepNext w:val="0"/>
        <w:keepLines w:val="0"/>
        <w:pageBreakBefore w:val="0"/>
        <w:widowControl w:val="0"/>
        <w:kinsoku/>
        <w:wordWrap/>
        <w:overflowPunct/>
        <w:topLinePunct w:val="0"/>
        <w:autoSpaceDE/>
        <w:autoSpaceDN/>
        <w:bidi w:val="0"/>
        <w:adjustRightInd w:val="0"/>
        <w:snapToGrid w:val="0"/>
        <w:spacing w:line="348" w:lineRule="auto"/>
        <w:ind w:firstLine="627" w:firstLineChars="200"/>
        <w:textAlignment w:val="auto"/>
        <w:rPr>
          <w:rFonts w:ascii="仿宋_GB2312" w:hAnsi="仿宋_GB2312" w:eastAsia="仿宋_GB2312" w:cs="仿宋_GB2312"/>
          <w:b/>
          <w:bCs/>
          <w:color w:val="000000" w:themeColor="text1"/>
          <w:spacing w:val="-4"/>
          <w:sz w:val="32"/>
          <w:szCs w:val="32"/>
          <w14:textFill>
            <w14:solidFill>
              <w14:schemeClr w14:val="tx1"/>
            </w14:solidFill>
          </w14:textFill>
        </w:rPr>
      </w:pPr>
      <w:r>
        <w:rPr>
          <w:rFonts w:hint="eastAsia" w:ascii="仿宋_GB2312" w:hAnsi="仿宋_GB2312" w:eastAsia="仿宋_GB2312" w:cs="仿宋_GB2312"/>
          <w:b/>
          <w:bCs/>
          <w:color w:val="000000" w:themeColor="text1"/>
          <w:spacing w:val="-4"/>
          <w:sz w:val="32"/>
          <w:szCs w:val="32"/>
          <w14:textFill>
            <w14:solidFill>
              <w14:schemeClr w14:val="tx1"/>
            </w14:solidFill>
          </w14:textFill>
        </w:rPr>
        <w:t>（</w:t>
      </w:r>
      <w:r>
        <w:rPr>
          <w:rFonts w:hint="eastAsia" w:ascii="仿宋_GB2312" w:hAnsi="仿宋_GB2312" w:eastAsia="仿宋_GB2312" w:cs="仿宋_GB2312"/>
          <w:b/>
          <w:bCs/>
          <w:color w:val="000000" w:themeColor="text1"/>
          <w:spacing w:val="-4"/>
          <w:sz w:val="32"/>
          <w:szCs w:val="32"/>
          <w:lang w:val="en-US" w:eastAsia="zh-CN"/>
          <w14:textFill>
            <w14:solidFill>
              <w14:schemeClr w14:val="tx1"/>
            </w14:solidFill>
          </w14:textFill>
        </w:rPr>
        <w:t>四</w:t>
      </w:r>
      <w:r>
        <w:rPr>
          <w:rFonts w:hint="eastAsia" w:ascii="仿宋_GB2312" w:hAnsi="仿宋_GB2312" w:eastAsia="仿宋_GB2312" w:cs="仿宋_GB2312"/>
          <w:b/>
          <w:bCs/>
          <w:color w:val="000000" w:themeColor="text1"/>
          <w:spacing w:val="-4"/>
          <w:sz w:val="32"/>
          <w:szCs w:val="32"/>
          <w14:textFill>
            <w14:solidFill>
              <w14:schemeClr w14:val="tx1"/>
            </w14:solidFill>
          </w14:textFill>
        </w:rPr>
        <w:t>）教职工学习要求</w:t>
      </w:r>
    </w:p>
    <w:p>
      <w:pPr>
        <w:keepNext w:val="0"/>
        <w:keepLines w:val="0"/>
        <w:pageBreakBefore w:val="0"/>
        <w:widowControl w:val="0"/>
        <w:kinsoku/>
        <w:wordWrap/>
        <w:overflowPunct/>
        <w:topLinePunct w:val="0"/>
        <w:autoSpaceDE/>
        <w:autoSpaceDN/>
        <w:bidi w:val="0"/>
        <w:adjustRightInd w:val="0"/>
        <w:snapToGrid w:val="0"/>
        <w:spacing w:line="348"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1. 教职工的教研、学习活动以集中学习和自学相结合的方式进行，学习党总支本月安排的政治理论和业务学习内容。</w:t>
      </w:r>
    </w:p>
    <w:p>
      <w:pPr>
        <w:keepNext w:val="0"/>
        <w:keepLines w:val="0"/>
        <w:pageBreakBefore w:val="0"/>
        <w:widowControl w:val="0"/>
        <w:kinsoku/>
        <w:wordWrap/>
        <w:overflowPunct/>
        <w:topLinePunct w:val="0"/>
        <w:autoSpaceDE/>
        <w:autoSpaceDN/>
        <w:bidi w:val="0"/>
        <w:adjustRightInd w:val="0"/>
        <w:snapToGrid w:val="0"/>
        <w:spacing w:line="348"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2. 政治理论学习要求通读原文，并认真做好学习笔记，学习笔记将进行检查。</w:t>
      </w:r>
    </w:p>
    <w:p>
      <w:pPr>
        <w:keepNext w:val="0"/>
        <w:keepLines w:val="0"/>
        <w:pageBreakBefore w:val="0"/>
        <w:widowControl w:val="0"/>
        <w:kinsoku/>
        <w:wordWrap/>
        <w:overflowPunct/>
        <w:topLinePunct w:val="0"/>
        <w:autoSpaceDE/>
        <w:autoSpaceDN/>
        <w:bidi w:val="0"/>
        <w:adjustRightInd w:val="0"/>
        <w:snapToGrid w:val="0"/>
        <w:spacing w:line="348" w:lineRule="auto"/>
        <w:ind w:firstLine="624" w:firstLineChars="200"/>
        <w:textAlignment w:val="auto"/>
        <w:rPr>
          <w:rFonts w:hint="default" w:ascii="仿宋_GB2312" w:hAnsi="仿宋_GB2312" w:eastAsia="仿宋_GB2312" w:cs="仿宋_GB2312"/>
          <w:color w:val="000000" w:themeColor="text1"/>
          <w:spacing w:val="-4"/>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348" w:lineRule="auto"/>
        <w:jc w:val="left"/>
        <w:textAlignment w:val="auto"/>
        <w:rPr>
          <w:rFonts w:ascii="仿宋_GB2312" w:hAnsi="仿宋_GB2312" w:eastAsia="仿宋_GB2312" w:cs="仿宋_GB2312"/>
          <w:b/>
          <w:bCs/>
          <w:color w:val="000000" w:themeColor="text1"/>
          <w:spacing w:val="-4"/>
          <w:sz w:val="32"/>
          <w:szCs w:val="32"/>
          <w14:textFill>
            <w14:solidFill>
              <w14:schemeClr w14:val="tx1"/>
            </w14:solidFill>
          </w14:textFill>
        </w:rPr>
      </w:pPr>
      <w:r>
        <w:rPr>
          <w:rFonts w:hint="eastAsia" w:ascii="仿宋_GB2312" w:hAnsi="仿宋_GB2312" w:eastAsia="仿宋_GB2312" w:cs="仿宋_GB2312"/>
          <w:b/>
          <w:bCs/>
          <w:color w:val="000000" w:themeColor="text1"/>
          <w:spacing w:val="-4"/>
          <w:sz w:val="32"/>
          <w:szCs w:val="32"/>
          <w14:textFill>
            <w14:solidFill>
              <w14:schemeClr w14:val="tx1"/>
            </w14:solidFill>
          </w14:textFill>
        </w:rPr>
        <w:t>附件：</w:t>
      </w:r>
    </w:p>
    <w:p>
      <w:pPr>
        <w:keepNext w:val="0"/>
        <w:keepLines w:val="0"/>
        <w:pageBreakBefore w:val="0"/>
        <w:widowControl w:val="0"/>
        <w:kinsoku/>
        <w:wordWrap/>
        <w:overflowPunct/>
        <w:topLinePunct w:val="0"/>
        <w:autoSpaceDE/>
        <w:autoSpaceDN/>
        <w:bidi w:val="0"/>
        <w:snapToGrid w:val="0"/>
        <w:spacing w:line="348" w:lineRule="auto"/>
        <w:ind w:firstLine="624" w:firstLineChars="200"/>
        <w:jc w:val="left"/>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1. 习近平：以史为鉴、开创未来 埋头苦干、勇毅前行</w:t>
      </w:r>
    </w:p>
    <w:p>
      <w:pPr>
        <w:keepNext w:val="0"/>
        <w:keepLines w:val="0"/>
        <w:pageBreakBefore w:val="0"/>
        <w:widowControl w:val="0"/>
        <w:kinsoku/>
        <w:wordWrap/>
        <w:overflowPunct/>
        <w:topLinePunct w:val="0"/>
        <w:autoSpaceDE/>
        <w:autoSpaceDN/>
        <w:bidi w:val="0"/>
        <w:snapToGrid w:val="0"/>
        <w:spacing w:line="348" w:lineRule="auto"/>
        <w:ind w:firstLine="624" w:firstLineChars="200"/>
        <w:jc w:val="left"/>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pacing w:val="-4"/>
          <w:sz w:val="32"/>
          <w:szCs w:val="32"/>
          <w14:textFill>
            <w14:solidFill>
              <w14:schemeClr w14:val="tx1"/>
            </w14:solidFill>
          </w14:textFill>
        </w:rPr>
        <w:t xml:space="preserve">. </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坚定信心 勇毅前行 共创后疫情时代美好世界——习近平在2022年世界经济论坛视频会议的演讲</w:t>
      </w:r>
    </w:p>
    <w:p>
      <w:pPr>
        <w:keepNext w:val="0"/>
        <w:keepLines w:val="0"/>
        <w:pageBreakBefore w:val="0"/>
        <w:widowControl w:val="0"/>
        <w:kinsoku/>
        <w:wordWrap/>
        <w:overflowPunct/>
        <w:topLinePunct w:val="0"/>
        <w:autoSpaceDE/>
        <w:autoSpaceDN/>
        <w:bidi w:val="0"/>
        <w:snapToGrid w:val="0"/>
        <w:spacing w:line="348" w:lineRule="auto"/>
        <w:ind w:firstLine="624" w:firstLineChars="200"/>
        <w:jc w:val="left"/>
        <w:textAlignment w:val="auto"/>
        <w:rPr>
          <w:rFonts w:hint="default"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 xml:space="preserve">3. </w:t>
      </w:r>
      <w:r>
        <w:rPr>
          <w:rFonts w:hint="default" w:ascii="仿宋_GB2312" w:hAnsi="仿宋_GB2312" w:eastAsia="仿宋_GB2312" w:cs="仿宋_GB2312"/>
          <w:color w:val="000000" w:themeColor="text1"/>
          <w:spacing w:val="-4"/>
          <w:sz w:val="32"/>
          <w:szCs w:val="32"/>
          <w:lang w:val="en-US" w:eastAsia="zh-CN"/>
          <w14:textFill>
            <w14:solidFill>
              <w14:schemeClr w14:val="tx1"/>
            </w14:solidFill>
          </w14:textFill>
        </w:rPr>
        <w:t>中国共产党第十九届中央纪律检查委员会第六次全体会议公报</w:t>
      </w:r>
    </w:p>
    <w:p>
      <w:pPr>
        <w:keepNext w:val="0"/>
        <w:keepLines w:val="0"/>
        <w:pageBreakBefore w:val="0"/>
        <w:widowControl w:val="0"/>
        <w:kinsoku/>
        <w:wordWrap/>
        <w:overflowPunct/>
        <w:topLinePunct w:val="0"/>
        <w:autoSpaceDE/>
        <w:autoSpaceDN/>
        <w:bidi w:val="0"/>
        <w:snapToGrid w:val="0"/>
        <w:spacing w:line="348" w:lineRule="auto"/>
        <w:ind w:firstLine="624" w:firstLineChars="200"/>
        <w:jc w:val="left"/>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4. 习近平在十九届中央纪委六次全会上发表重要讲话强调坚持严的主基调不动摇 坚持不懈把全面从严治党向纵深推进</w:t>
      </w:r>
    </w:p>
    <w:p>
      <w:pPr>
        <w:keepNext w:val="0"/>
        <w:keepLines w:val="0"/>
        <w:pageBreakBefore w:val="0"/>
        <w:widowControl w:val="0"/>
        <w:kinsoku/>
        <w:wordWrap/>
        <w:overflowPunct/>
        <w:topLinePunct w:val="0"/>
        <w:autoSpaceDE/>
        <w:autoSpaceDN/>
        <w:bidi w:val="0"/>
        <w:snapToGrid w:val="0"/>
        <w:spacing w:line="348" w:lineRule="auto"/>
        <w:ind w:firstLine="624" w:firstLineChars="200"/>
        <w:jc w:val="left"/>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5.习近平：在二〇二二年春节团拜会上的讲话</w:t>
      </w:r>
    </w:p>
    <w:p>
      <w:pPr>
        <w:keepNext w:val="0"/>
        <w:keepLines w:val="0"/>
        <w:pageBreakBefore w:val="0"/>
        <w:widowControl w:val="0"/>
        <w:kinsoku/>
        <w:wordWrap/>
        <w:overflowPunct/>
        <w:topLinePunct w:val="0"/>
        <w:autoSpaceDE/>
        <w:autoSpaceDN/>
        <w:bidi w:val="0"/>
        <w:snapToGrid w:val="0"/>
        <w:spacing w:line="348" w:lineRule="auto"/>
        <w:ind w:firstLine="624" w:firstLineChars="200"/>
        <w:jc w:val="left"/>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6.兰州职业技术学院关于进一步加强学生实习管理工作的通知</w:t>
      </w:r>
    </w:p>
    <w:p>
      <w:pPr>
        <w:keepNext w:val="0"/>
        <w:keepLines w:val="0"/>
        <w:pageBreakBefore w:val="0"/>
        <w:widowControl w:val="0"/>
        <w:kinsoku/>
        <w:wordWrap/>
        <w:overflowPunct/>
        <w:topLinePunct w:val="0"/>
        <w:autoSpaceDE/>
        <w:autoSpaceDN/>
        <w:bidi w:val="0"/>
        <w:snapToGrid w:val="0"/>
        <w:spacing w:line="348" w:lineRule="auto"/>
        <w:ind w:firstLine="624" w:firstLineChars="200"/>
        <w:jc w:val="left"/>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7.教育部等八部门联合印发《职业学校学生实习管理规定》（图片格式，网页链接地址：https://jwc.lvu.edu.cn/e2/33/c891a57907/page.htm）</w:t>
      </w:r>
    </w:p>
    <w:p>
      <w:pPr>
        <w:keepNext w:val="0"/>
        <w:keepLines w:val="0"/>
        <w:pageBreakBefore w:val="0"/>
        <w:widowControl w:val="0"/>
        <w:kinsoku/>
        <w:wordWrap/>
        <w:overflowPunct/>
        <w:topLinePunct w:val="0"/>
        <w:autoSpaceDE/>
        <w:autoSpaceDN/>
        <w:bidi w:val="0"/>
        <w:snapToGrid w:val="0"/>
        <w:spacing w:line="348" w:lineRule="auto"/>
        <w:ind w:firstLine="624" w:firstLineChars="200"/>
        <w:jc w:val="left"/>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8.科学精准做好寒假、春节和冬奥会期间教育系统疫情防控工作——2022年第1次全国教育系统疫情防控工作视频调度会议召开</w:t>
      </w:r>
    </w:p>
    <w:p>
      <w:pPr>
        <w:keepNext w:val="0"/>
        <w:keepLines w:val="0"/>
        <w:pageBreakBefore w:val="0"/>
        <w:widowControl w:val="0"/>
        <w:kinsoku/>
        <w:wordWrap/>
        <w:overflowPunct/>
        <w:topLinePunct w:val="0"/>
        <w:autoSpaceDE/>
        <w:autoSpaceDN/>
        <w:bidi w:val="0"/>
        <w:snapToGrid w:val="0"/>
        <w:spacing w:line="348" w:lineRule="auto"/>
        <w:ind w:firstLine="624" w:firstLineChars="200"/>
        <w:jc w:val="left"/>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9. 兰州职业技术学院构建课堂生态工作方案（2021-2022）</w:t>
      </w:r>
    </w:p>
    <w:p>
      <w:pPr>
        <w:keepNext w:val="0"/>
        <w:keepLines w:val="0"/>
        <w:pageBreakBefore w:val="0"/>
        <w:widowControl w:val="0"/>
        <w:kinsoku/>
        <w:wordWrap/>
        <w:overflowPunct/>
        <w:topLinePunct w:val="0"/>
        <w:autoSpaceDE/>
        <w:autoSpaceDN/>
        <w:bidi w:val="0"/>
        <w:adjustRightInd w:val="0"/>
        <w:snapToGrid w:val="0"/>
        <w:spacing w:line="348"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10.中国共产党支部工作条例</w:t>
      </w:r>
    </w:p>
    <w:p>
      <w:pPr>
        <w:keepNext w:val="0"/>
        <w:keepLines w:val="0"/>
        <w:pageBreakBefore w:val="0"/>
        <w:widowControl w:val="0"/>
        <w:kinsoku/>
        <w:wordWrap/>
        <w:overflowPunct/>
        <w:topLinePunct w:val="0"/>
        <w:autoSpaceDE/>
        <w:autoSpaceDN/>
        <w:bidi w:val="0"/>
        <w:adjustRightInd w:val="0"/>
        <w:snapToGrid w:val="0"/>
        <w:spacing w:line="348" w:lineRule="auto"/>
        <w:ind w:firstLine="624" w:firstLineChars="200"/>
        <w:textAlignment w:val="auto"/>
        <w:rPr>
          <w:rFonts w:hint="eastAsia"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11.</w:t>
      </w:r>
      <w:r>
        <w:rPr>
          <w:rFonts w:hint="eastAsia" w:ascii="仿宋_GB2312" w:hAnsi="仿宋_GB2312" w:eastAsia="仿宋_GB2312" w:cs="仿宋_GB2312"/>
          <w:color w:val="000000" w:themeColor="text1"/>
          <w:spacing w:val="-4"/>
          <w:sz w:val="32"/>
          <w:szCs w:val="32"/>
          <w14:textFill>
            <w14:solidFill>
              <w14:schemeClr w14:val="tx1"/>
            </w14:solidFill>
          </w14:textFill>
        </w:rPr>
        <w:t>中华人民共和国教育法</w:t>
      </w:r>
    </w:p>
    <w:p>
      <w:pPr>
        <w:adjustRightInd w:val="0"/>
        <w:snapToGrid w:val="0"/>
        <w:spacing w:line="360" w:lineRule="auto"/>
        <w:jc w:val="both"/>
        <w:rPr>
          <w:rFonts w:ascii="仿宋_GB2312" w:hAnsi="仿宋_GB2312" w:eastAsia="仿宋_GB2312" w:cs="仿宋_GB2312"/>
          <w:color w:val="000000" w:themeColor="text1"/>
          <w:sz w:val="32"/>
          <w:szCs w:val="32"/>
          <w14:textFill>
            <w14:solidFill>
              <w14:schemeClr w14:val="tx1"/>
            </w14:solidFill>
          </w14:textFill>
        </w:rPr>
      </w:pPr>
    </w:p>
    <w:p>
      <w:pPr>
        <w:adjustRightInd w:val="0"/>
        <w:snapToGrid w:val="0"/>
        <w:spacing w:line="360" w:lineRule="auto"/>
        <w:jc w:val="both"/>
        <w:rPr>
          <w:rFonts w:ascii="仿宋_GB2312" w:hAnsi="仿宋_GB2312" w:eastAsia="仿宋_GB2312" w:cs="仿宋_GB2312"/>
          <w:color w:val="000000" w:themeColor="text1"/>
          <w:sz w:val="32"/>
          <w:szCs w:val="32"/>
          <w14:textFill>
            <w14:solidFill>
              <w14:schemeClr w14:val="tx1"/>
            </w14:solidFill>
          </w14:textFill>
        </w:rPr>
      </w:pPr>
    </w:p>
    <w:p>
      <w:pPr>
        <w:adjustRightInd w:val="0"/>
        <w:snapToGrid w:val="0"/>
        <w:spacing w:line="360" w:lineRule="auto"/>
        <w:jc w:val="righ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二〇二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二</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二</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w:t>
      </w:r>
      <w:r>
        <w:rPr>
          <w:rFonts w:hint="eastAsia" w:ascii="仿宋_GB2312" w:hAnsi="仿宋_GB2312" w:eastAsia="仿宋_GB2312" w:cs="仿宋_GB2312"/>
          <w:color w:val="000000" w:themeColor="text1"/>
          <w:sz w:val="32"/>
          <w:szCs w:val="32"/>
          <w14:textFill>
            <w14:solidFill>
              <w14:schemeClr w14:val="tx1"/>
            </w14:solidFill>
          </w14:textFill>
        </w:rPr>
        <w:t>日</w:t>
      </w:r>
    </w:p>
    <w:p>
      <w:pPr>
        <w:adjustRightInd w:val="0"/>
        <w:snapToGrid w:val="0"/>
        <w:spacing w:line="360" w:lineRule="auto"/>
        <w:jc w:val="both"/>
        <w:rPr>
          <w:rFonts w:ascii="仿宋_GB2312" w:hAnsi="仿宋_GB2312" w:eastAsia="仿宋_GB2312" w:cs="仿宋_GB2312"/>
          <w:color w:val="000000" w:themeColor="text1"/>
          <w:sz w:val="18"/>
          <w:szCs w:val="18"/>
          <w14:textFill>
            <w14:solidFill>
              <w14:schemeClr w14:val="tx1"/>
            </w14:solidFill>
          </w14:textFill>
        </w:rPr>
      </w:pPr>
    </w:p>
    <w:p>
      <w:pPr>
        <w:adjustRightInd w:val="0"/>
        <w:snapToGrid w:val="0"/>
        <w:spacing w:line="360" w:lineRule="auto"/>
        <w:jc w:val="both"/>
        <w:rPr>
          <w:rFonts w:ascii="仿宋_GB2312" w:hAnsi="仿宋_GB2312" w:eastAsia="仿宋_GB2312" w:cs="仿宋_GB2312"/>
          <w:color w:val="000000" w:themeColor="text1"/>
          <w:sz w:val="18"/>
          <w:szCs w:val="18"/>
          <w14:textFill>
            <w14:solidFill>
              <w14:schemeClr w14:val="tx1"/>
            </w14:solidFill>
          </w14:textFill>
        </w:rPr>
      </w:pPr>
    </w:p>
    <w:p>
      <w:pPr>
        <w:adjustRightInd w:val="0"/>
        <w:snapToGrid w:val="0"/>
        <w:spacing w:line="360" w:lineRule="auto"/>
        <w:jc w:val="both"/>
        <w:rPr>
          <w:rFonts w:ascii="仿宋_GB2312" w:hAnsi="仿宋_GB2312" w:eastAsia="仿宋_GB2312" w:cs="仿宋_GB2312"/>
          <w:color w:val="000000" w:themeColor="text1"/>
          <w:sz w:val="18"/>
          <w:szCs w:val="18"/>
          <w14:textFill>
            <w14:solidFill>
              <w14:schemeClr w14:val="tx1"/>
            </w14:solidFill>
          </w14:textFill>
        </w:rPr>
      </w:pPr>
    </w:p>
    <w:p>
      <w:pPr>
        <w:adjustRightInd w:val="0"/>
        <w:snapToGrid w:val="0"/>
        <w:spacing w:line="360" w:lineRule="auto"/>
        <w:jc w:val="both"/>
        <w:rPr>
          <w:rFonts w:ascii="仿宋_GB2312" w:hAnsi="仿宋_GB2312" w:eastAsia="仿宋_GB2312" w:cs="仿宋_GB2312"/>
          <w:color w:val="000000" w:themeColor="text1"/>
          <w:sz w:val="18"/>
          <w:szCs w:val="18"/>
          <w14:textFill>
            <w14:solidFill>
              <w14:schemeClr w14:val="tx1"/>
            </w14:solidFill>
          </w14:textFill>
        </w:rPr>
      </w:pPr>
    </w:p>
    <w:p>
      <w:pPr>
        <w:adjustRightInd w:val="0"/>
        <w:snapToGrid w:val="0"/>
        <w:spacing w:line="360" w:lineRule="auto"/>
        <w:jc w:val="both"/>
        <w:rPr>
          <w:rFonts w:ascii="仿宋_GB2312" w:hAnsi="仿宋_GB2312" w:eastAsia="仿宋_GB2312" w:cs="仿宋_GB2312"/>
          <w:color w:val="000000" w:themeColor="text1"/>
          <w:sz w:val="18"/>
          <w:szCs w:val="18"/>
          <w14:textFill>
            <w14:solidFill>
              <w14:schemeClr w14:val="tx1"/>
            </w14:solidFill>
          </w14:textFill>
        </w:rPr>
      </w:pPr>
    </w:p>
    <w:p>
      <w:pPr>
        <w:adjustRightInd w:val="0"/>
        <w:snapToGrid w:val="0"/>
        <w:spacing w:line="360" w:lineRule="auto"/>
        <w:jc w:val="both"/>
        <w:rPr>
          <w:rFonts w:ascii="仿宋_GB2312" w:hAnsi="仿宋_GB2312" w:eastAsia="仿宋_GB2312" w:cs="仿宋_GB2312"/>
          <w:color w:val="000000" w:themeColor="text1"/>
          <w:sz w:val="18"/>
          <w:szCs w:val="18"/>
          <w14:textFill>
            <w14:solidFill>
              <w14:schemeClr w14:val="tx1"/>
            </w14:solidFill>
          </w14:textFill>
        </w:rPr>
      </w:pPr>
    </w:p>
    <w:p>
      <w:pPr>
        <w:adjustRightInd w:val="0"/>
        <w:snapToGrid w:val="0"/>
        <w:spacing w:line="360" w:lineRule="auto"/>
        <w:jc w:val="both"/>
        <w:rPr>
          <w:rFonts w:ascii="仿宋_GB2312" w:hAnsi="仿宋_GB2312" w:eastAsia="仿宋_GB2312" w:cs="仿宋_GB2312"/>
          <w:color w:val="000000" w:themeColor="text1"/>
          <w:sz w:val="18"/>
          <w:szCs w:val="18"/>
          <w14:textFill>
            <w14:solidFill>
              <w14:schemeClr w14:val="tx1"/>
            </w14:solidFill>
          </w14:textFill>
        </w:rPr>
      </w:pPr>
    </w:p>
    <w:p>
      <w:pPr>
        <w:adjustRightInd w:val="0"/>
        <w:snapToGrid w:val="0"/>
        <w:spacing w:line="360" w:lineRule="auto"/>
        <w:jc w:val="both"/>
        <w:rPr>
          <w:rFonts w:ascii="仿宋_GB2312" w:hAnsi="仿宋_GB2312" w:eastAsia="仿宋_GB2312" w:cs="仿宋_GB2312"/>
          <w:color w:val="000000" w:themeColor="text1"/>
          <w:sz w:val="18"/>
          <w:szCs w:val="18"/>
          <w14:textFill>
            <w14:solidFill>
              <w14:schemeClr w14:val="tx1"/>
            </w14:solidFill>
          </w14:textFill>
        </w:rPr>
      </w:pPr>
    </w:p>
    <w:p>
      <w:pPr>
        <w:adjustRightInd w:val="0"/>
        <w:snapToGrid w:val="0"/>
        <w:spacing w:line="360" w:lineRule="auto"/>
        <w:jc w:val="both"/>
        <w:rPr>
          <w:rFonts w:ascii="仿宋_GB2312" w:hAnsi="仿宋_GB2312" w:eastAsia="仿宋_GB2312" w:cs="仿宋_GB2312"/>
          <w:color w:val="000000" w:themeColor="text1"/>
          <w:sz w:val="18"/>
          <w:szCs w:val="18"/>
          <w14:textFill>
            <w14:solidFill>
              <w14:schemeClr w14:val="tx1"/>
            </w14:solidFill>
          </w14:textFill>
        </w:rPr>
      </w:pPr>
    </w:p>
    <w:p>
      <w:pPr>
        <w:adjustRightInd w:val="0"/>
        <w:snapToGrid w:val="0"/>
        <w:spacing w:line="360" w:lineRule="auto"/>
        <w:jc w:val="both"/>
        <w:rPr>
          <w:rFonts w:ascii="仿宋_GB2312" w:hAnsi="仿宋_GB2312" w:eastAsia="仿宋_GB2312" w:cs="仿宋_GB2312"/>
          <w:color w:val="000000" w:themeColor="text1"/>
          <w:sz w:val="18"/>
          <w:szCs w:val="18"/>
          <w14:textFill>
            <w14:solidFill>
              <w14:schemeClr w14:val="tx1"/>
            </w14:solidFill>
          </w14:textFill>
        </w:rPr>
      </w:pPr>
    </w:p>
    <w:p>
      <w:pPr>
        <w:adjustRightInd w:val="0"/>
        <w:snapToGrid w:val="0"/>
        <w:spacing w:line="360" w:lineRule="auto"/>
        <w:jc w:val="both"/>
        <w:rPr>
          <w:rFonts w:ascii="仿宋_GB2312" w:hAnsi="仿宋_GB2312" w:eastAsia="仿宋_GB2312" w:cs="仿宋_GB2312"/>
          <w:color w:val="000000" w:themeColor="text1"/>
          <w:sz w:val="18"/>
          <w:szCs w:val="18"/>
          <w14:textFill>
            <w14:solidFill>
              <w14:schemeClr w14:val="tx1"/>
            </w14:solidFill>
          </w14:textFill>
        </w:rPr>
      </w:pPr>
    </w:p>
    <w:p>
      <w:pPr>
        <w:adjustRightInd w:val="0"/>
        <w:snapToGrid w:val="0"/>
        <w:spacing w:line="360" w:lineRule="auto"/>
        <w:jc w:val="both"/>
        <w:rPr>
          <w:rFonts w:ascii="仿宋_GB2312" w:hAnsi="仿宋_GB2312" w:eastAsia="仿宋_GB2312" w:cs="仿宋_GB2312"/>
          <w:color w:val="000000" w:themeColor="text1"/>
          <w:sz w:val="18"/>
          <w:szCs w:val="18"/>
          <w14:textFill>
            <w14:solidFill>
              <w14:schemeClr w14:val="tx1"/>
            </w14:solidFill>
          </w14:textFill>
        </w:rPr>
      </w:pPr>
    </w:p>
    <w:p>
      <w:pPr>
        <w:adjustRightInd w:val="0"/>
        <w:snapToGrid w:val="0"/>
        <w:spacing w:line="360" w:lineRule="auto"/>
        <w:jc w:val="both"/>
        <w:rPr>
          <w:rFonts w:ascii="仿宋_GB2312" w:hAnsi="仿宋_GB2312" w:eastAsia="仿宋_GB2312" w:cs="仿宋_GB2312"/>
          <w:color w:val="000000" w:themeColor="text1"/>
          <w:sz w:val="18"/>
          <w:szCs w:val="18"/>
          <w14:textFill>
            <w14:solidFill>
              <w14:schemeClr w14:val="tx1"/>
            </w14:solidFill>
          </w14:textFill>
        </w:rPr>
      </w:pPr>
    </w:p>
    <w:p>
      <w:pPr>
        <w:adjustRightInd w:val="0"/>
        <w:snapToGrid w:val="0"/>
        <w:spacing w:line="360" w:lineRule="auto"/>
        <w:jc w:val="both"/>
        <w:rPr>
          <w:rFonts w:ascii="仿宋_GB2312" w:hAnsi="仿宋_GB2312" w:eastAsia="仿宋_GB2312" w:cs="仿宋_GB2312"/>
          <w:color w:val="000000" w:themeColor="text1"/>
          <w:sz w:val="18"/>
          <w:szCs w:val="18"/>
          <w14:textFill>
            <w14:solidFill>
              <w14:schemeClr w14:val="tx1"/>
            </w14:solidFill>
          </w14:textFill>
        </w:rPr>
      </w:pPr>
    </w:p>
    <w:p>
      <w:pPr>
        <w:adjustRightInd w:val="0"/>
        <w:snapToGrid w:val="0"/>
        <w:spacing w:line="360" w:lineRule="auto"/>
        <w:jc w:val="both"/>
        <w:rPr>
          <w:rFonts w:ascii="仿宋_GB2312" w:hAnsi="仿宋_GB2312" w:eastAsia="仿宋_GB2312" w:cs="仿宋_GB2312"/>
          <w:color w:val="000000" w:themeColor="text1"/>
          <w:sz w:val="18"/>
          <w:szCs w:val="18"/>
          <w14:textFill>
            <w14:solidFill>
              <w14:schemeClr w14:val="tx1"/>
            </w14:solidFill>
          </w14:textFill>
        </w:rPr>
      </w:pPr>
    </w:p>
    <w:p>
      <w:pPr>
        <w:adjustRightInd w:val="0"/>
        <w:snapToGrid w:val="0"/>
        <w:spacing w:line="360" w:lineRule="auto"/>
        <w:jc w:val="both"/>
        <w:rPr>
          <w:rFonts w:ascii="仿宋_GB2312" w:hAnsi="仿宋_GB2312" w:eastAsia="仿宋_GB2312" w:cs="仿宋_GB2312"/>
          <w:color w:val="000000" w:themeColor="text1"/>
          <w:sz w:val="18"/>
          <w:szCs w:val="18"/>
          <w14:textFill>
            <w14:solidFill>
              <w14:schemeClr w14:val="tx1"/>
            </w14:solidFill>
          </w14:textFill>
        </w:rPr>
      </w:pPr>
    </w:p>
    <w:p>
      <w:pPr>
        <w:adjustRightInd w:val="0"/>
        <w:snapToGrid w:val="0"/>
        <w:spacing w:line="360" w:lineRule="auto"/>
        <w:jc w:val="both"/>
        <w:rPr>
          <w:rFonts w:ascii="仿宋_GB2312" w:hAnsi="仿宋_GB2312" w:eastAsia="仿宋_GB2312" w:cs="仿宋_GB2312"/>
          <w:color w:val="000000" w:themeColor="text1"/>
          <w:sz w:val="18"/>
          <w:szCs w:val="18"/>
          <w14:textFill>
            <w14:solidFill>
              <w14:schemeClr w14:val="tx1"/>
            </w14:solidFill>
          </w14:textFill>
        </w:rPr>
      </w:pPr>
    </w:p>
    <w:p>
      <w:pPr>
        <w:snapToGrid w:val="0"/>
        <w:rPr>
          <w:rFonts w:hint="default" w:eastAsia="仿宋_GB2312"/>
          <w:lang w:val="en-US" w:eastAsia="zh-CN"/>
        </w:rPr>
      </w:pPr>
      <w:r>
        <w:rPr>
          <w:rFonts w:hint="eastAsia" w:ascii="仿宋_GB2312" w:eastAsia="仿宋_GB2312"/>
          <w:color w:val="000000" w:themeColor="text1"/>
          <w:w w:val="85"/>
          <w:sz w:val="32"/>
          <w:szCs w:val="32"/>
          <w:u w:val="single"/>
          <w14:textFill>
            <w14:solidFill>
              <w14:schemeClr w14:val="tx1"/>
            </w14:solidFill>
          </w14:textFill>
        </w:rPr>
        <w:t xml:space="preserve">                                                    </w:t>
      </w:r>
      <w:r>
        <w:rPr>
          <w:rFonts w:ascii="仿宋_GB2312" w:eastAsia="仿宋_GB2312"/>
          <w:color w:val="000000" w:themeColor="text1"/>
          <w:w w:val="85"/>
          <w:sz w:val="32"/>
          <w:szCs w:val="32"/>
          <w:u w:val="single"/>
          <w14:textFill>
            <w14:solidFill>
              <w14:schemeClr w14:val="tx1"/>
            </w14:solidFill>
          </w14:textFill>
        </w:rPr>
        <w:t xml:space="preserve">             </w:t>
      </w:r>
      <w:r>
        <w:rPr>
          <w:rFonts w:hint="eastAsia" w:ascii="仿宋_GB2312" w:eastAsia="仿宋_GB2312"/>
          <w:color w:val="000000" w:themeColor="text1"/>
          <w:w w:val="85"/>
          <w:sz w:val="32"/>
          <w:szCs w:val="32"/>
          <w:u w:val="single"/>
          <w14:textFill>
            <w14:solidFill>
              <w14:schemeClr w14:val="tx1"/>
            </w14:solidFill>
          </w14:textFill>
        </w:rPr>
        <w:t>中共兰州职业技术学院初等教育学院总支部委员会</w:t>
      </w:r>
      <w:r>
        <w:rPr>
          <w:rFonts w:hint="eastAsia" w:ascii="仿宋_GB2312" w:eastAsia="仿宋_GB2312"/>
          <w:color w:val="000000" w:themeColor="text1"/>
          <w:w w:val="85"/>
          <w:sz w:val="32"/>
          <w:szCs w:val="32"/>
          <w:u w:val="single"/>
          <w:lang w:val="en-US" w:eastAsia="zh-CN"/>
          <w14:textFill>
            <w14:solidFill>
              <w14:schemeClr w14:val="tx1"/>
            </w14:solidFill>
          </w14:textFill>
        </w:rPr>
        <w:t xml:space="preserve">  </w:t>
      </w:r>
      <w:r>
        <w:rPr>
          <w:rFonts w:hint="eastAsia" w:ascii="仿宋_GB2312" w:eastAsia="仿宋_GB2312"/>
          <w:color w:val="000000" w:themeColor="text1"/>
          <w:w w:val="85"/>
          <w:sz w:val="32"/>
          <w:szCs w:val="32"/>
          <w:u w:val="single"/>
          <w14:textFill>
            <w14:solidFill>
              <w14:schemeClr w14:val="tx1"/>
            </w14:solidFill>
          </w14:textFill>
        </w:rPr>
        <w:t xml:space="preserve"> 20</w:t>
      </w:r>
      <w:r>
        <w:rPr>
          <w:rFonts w:ascii="仿宋_GB2312" w:eastAsia="仿宋_GB2312"/>
          <w:color w:val="000000" w:themeColor="text1"/>
          <w:w w:val="85"/>
          <w:sz w:val="32"/>
          <w:szCs w:val="32"/>
          <w:u w:val="single"/>
          <w14:textFill>
            <w14:solidFill>
              <w14:schemeClr w14:val="tx1"/>
            </w14:solidFill>
          </w14:textFill>
        </w:rPr>
        <w:t>2</w:t>
      </w:r>
      <w:r>
        <w:rPr>
          <w:rFonts w:hint="eastAsia" w:ascii="仿宋_GB2312" w:eastAsia="仿宋_GB2312"/>
          <w:color w:val="000000" w:themeColor="text1"/>
          <w:w w:val="85"/>
          <w:sz w:val="32"/>
          <w:szCs w:val="32"/>
          <w:u w:val="single"/>
          <w:lang w:val="en-US" w:eastAsia="zh-CN"/>
          <w14:textFill>
            <w14:solidFill>
              <w14:schemeClr w14:val="tx1"/>
            </w14:solidFill>
          </w14:textFill>
        </w:rPr>
        <w:t>2</w:t>
      </w:r>
      <w:r>
        <w:rPr>
          <w:rFonts w:hint="eastAsia" w:ascii="仿宋_GB2312" w:eastAsia="仿宋_GB2312"/>
          <w:color w:val="000000" w:themeColor="text1"/>
          <w:w w:val="85"/>
          <w:sz w:val="32"/>
          <w:szCs w:val="32"/>
          <w:u w:val="single"/>
          <w14:textFill>
            <w14:solidFill>
              <w14:schemeClr w14:val="tx1"/>
            </w14:solidFill>
          </w14:textFill>
        </w:rPr>
        <w:t>年</w:t>
      </w:r>
      <w:r>
        <w:rPr>
          <w:rFonts w:hint="eastAsia" w:ascii="仿宋_GB2312" w:eastAsia="仿宋_GB2312"/>
          <w:color w:val="000000" w:themeColor="text1"/>
          <w:w w:val="85"/>
          <w:sz w:val="32"/>
          <w:szCs w:val="32"/>
          <w:u w:val="single"/>
          <w:lang w:val="en-US" w:eastAsia="zh-CN"/>
          <w14:textFill>
            <w14:solidFill>
              <w14:schemeClr w14:val="tx1"/>
            </w14:solidFill>
          </w14:textFill>
        </w:rPr>
        <w:t>2</w:t>
      </w:r>
      <w:r>
        <w:rPr>
          <w:rFonts w:hint="eastAsia" w:ascii="仿宋_GB2312" w:eastAsia="仿宋_GB2312"/>
          <w:color w:val="000000" w:themeColor="text1"/>
          <w:w w:val="85"/>
          <w:sz w:val="32"/>
          <w:szCs w:val="32"/>
          <w:u w:val="single"/>
          <w14:textFill>
            <w14:solidFill>
              <w14:schemeClr w14:val="tx1"/>
            </w14:solidFill>
          </w14:textFill>
        </w:rPr>
        <w:t>月</w:t>
      </w:r>
      <w:r>
        <w:rPr>
          <w:rFonts w:hint="eastAsia" w:ascii="仿宋_GB2312" w:eastAsia="仿宋_GB2312"/>
          <w:color w:val="000000" w:themeColor="text1"/>
          <w:w w:val="85"/>
          <w:sz w:val="32"/>
          <w:szCs w:val="32"/>
          <w:u w:val="single"/>
          <w:lang w:val="en-US" w:eastAsia="zh-CN"/>
          <w14:textFill>
            <w14:solidFill>
              <w14:schemeClr w14:val="tx1"/>
            </w14:solidFill>
          </w14:textFill>
        </w:rPr>
        <w:t>1</w:t>
      </w:r>
      <w:r>
        <w:rPr>
          <w:rFonts w:hint="eastAsia" w:ascii="仿宋_GB2312" w:eastAsia="仿宋_GB2312"/>
          <w:color w:val="000000" w:themeColor="text1"/>
          <w:w w:val="85"/>
          <w:sz w:val="32"/>
          <w:szCs w:val="32"/>
          <w:u w:val="single"/>
          <w14:textFill>
            <w14:solidFill>
              <w14:schemeClr w14:val="tx1"/>
            </w14:solidFill>
          </w14:textFill>
        </w:rPr>
        <w:t>日印发</w:t>
      </w:r>
    </w:p>
    <w:sectPr>
      <w:pgSz w:w="11906" w:h="16838"/>
      <w:pgMar w:top="1417" w:right="1417" w:bottom="113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070D96"/>
    <w:rsid w:val="39512324"/>
    <w:rsid w:val="53FB1A92"/>
    <w:rsid w:val="6E070D96"/>
    <w:rsid w:val="6E671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2022-01-30T09:29:00Z</dcterms:created>
  <dc:creator>康</dc:creator>
  <cp:lastModifiedBy>Luxurious</cp:lastModifiedBy>
  <dcterms:modified xsi:type="dcterms:W3CDTF">2022-01-30T17:15:14Z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7455F741B7E14BB897C795FDC4E7ED75</vt:lpwstr>
  </property>
</Properties>
</file>